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EEC2B" w14:textId="77777777" w:rsidR="00B55A34" w:rsidRPr="00A26898" w:rsidRDefault="00B55A34" w:rsidP="00B55A34">
      <w:pPr>
        <w:pStyle w:val="Heading1"/>
        <w:keepLines w:val="0"/>
        <w:rPr>
          <w:rFonts w:cs="Arial"/>
        </w:rPr>
      </w:pPr>
      <w:bookmarkStart w:id="0" w:name="_Toc370997480"/>
      <w:bookmarkStart w:id="1" w:name="_Toc339871403"/>
      <w:r w:rsidRPr="00A26898">
        <w:rPr>
          <w:rFonts w:cs="Arial"/>
        </w:rPr>
        <w:t xml:space="preserve">BI </w:t>
      </w:r>
      <w:r w:rsidR="0055007F">
        <w:rPr>
          <w:rFonts w:cs="Arial"/>
        </w:rPr>
        <w:t>Biohazard</w:t>
      </w:r>
      <w:r w:rsidR="00037767">
        <w:rPr>
          <w:rFonts w:cs="Arial"/>
        </w:rPr>
        <w:t>ous</w:t>
      </w:r>
      <w:r w:rsidR="0055007F">
        <w:rPr>
          <w:rFonts w:cs="Arial"/>
        </w:rPr>
        <w:t xml:space="preserve"> </w:t>
      </w:r>
      <w:r w:rsidR="00E61462">
        <w:rPr>
          <w:rFonts w:cs="Arial"/>
        </w:rPr>
        <w:t>Work</w:t>
      </w:r>
      <w:r w:rsidR="0055007F">
        <w:rPr>
          <w:rFonts w:cs="Arial"/>
        </w:rPr>
        <w:t xml:space="preserve"> </w:t>
      </w:r>
      <w:bookmarkEnd w:id="0"/>
      <w:r w:rsidR="00956E2C">
        <w:rPr>
          <w:rFonts w:cs="Arial"/>
        </w:rPr>
        <w:t>Policy</w:t>
      </w:r>
    </w:p>
    <w:p w14:paraId="74D6F9AC" w14:textId="2B7DFD5D" w:rsidR="0073725D" w:rsidRPr="0073725D" w:rsidRDefault="0073725D" w:rsidP="009B74C8">
      <w:pPr>
        <w:pStyle w:val="ListParagraph"/>
        <w:numPr>
          <w:ilvl w:val="0"/>
          <w:numId w:val="3"/>
        </w:numPr>
        <w:ind w:left="567"/>
        <w:rPr>
          <w:rFonts w:cs="Arial"/>
        </w:rPr>
      </w:pPr>
      <w:r>
        <w:rPr>
          <w:shd w:val="clear" w:color="auto" w:fill="FFFFFF"/>
        </w:rPr>
        <w:t xml:space="preserve">Within the BI, </w:t>
      </w:r>
      <w:r w:rsidR="008203C5">
        <w:rPr>
          <w:shd w:val="clear" w:color="auto" w:fill="FFFFFF"/>
        </w:rPr>
        <w:t>b</w:t>
      </w:r>
      <w:r>
        <w:rPr>
          <w:shd w:val="clear" w:color="auto" w:fill="FFFFFF"/>
        </w:rPr>
        <w:t xml:space="preserve">iohazardous </w:t>
      </w:r>
      <w:r w:rsidR="008203C5">
        <w:rPr>
          <w:shd w:val="clear" w:color="auto" w:fill="FFFFFF"/>
        </w:rPr>
        <w:t>w</w:t>
      </w:r>
      <w:r>
        <w:rPr>
          <w:shd w:val="clear" w:color="auto" w:fill="FFFFFF"/>
        </w:rPr>
        <w:t xml:space="preserve">ork </w:t>
      </w:r>
      <w:bookmarkStart w:id="2" w:name="_Hlk17201910"/>
      <w:r>
        <w:rPr>
          <w:shd w:val="clear" w:color="auto" w:fill="FFFFFF"/>
        </w:rPr>
        <w:t>is defined as u</w:t>
      </w:r>
      <w:r w:rsidR="00CE4D71" w:rsidRPr="00CE4D71">
        <w:rPr>
          <w:shd w:val="clear" w:color="auto" w:fill="FFFFFF"/>
        </w:rPr>
        <w:t>sers working with or importing infectious biological materials or toxins</w:t>
      </w:r>
      <w:r>
        <w:rPr>
          <w:shd w:val="clear" w:color="auto" w:fill="FFFFFF"/>
        </w:rPr>
        <w:t xml:space="preserve">. This includes </w:t>
      </w:r>
      <w:r w:rsidR="00CC5555">
        <w:rPr>
          <w:shd w:val="clear" w:color="auto" w:fill="FFFFFF"/>
        </w:rPr>
        <w:t>storing and transporting</w:t>
      </w:r>
      <w:r>
        <w:rPr>
          <w:shd w:val="clear" w:color="auto" w:fill="FFFFFF"/>
        </w:rPr>
        <w:t xml:space="preserve"> </w:t>
      </w:r>
      <w:r w:rsidR="00CC5555">
        <w:rPr>
          <w:shd w:val="clear" w:color="auto" w:fill="FFFFFF"/>
        </w:rPr>
        <w:t>biohazardous material into and out of the BI facility</w:t>
      </w:r>
      <w:r>
        <w:rPr>
          <w:shd w:val="clear" w:color="auto" w:fill="FFFFFF"/>
        </w:rPr>
        <w:t xml:space="preserve">. </w:t>
      </w:r>
      <w:bookmarkEnd w:id="2"/>
    </w:p>
    <w:p w14:paraId="76352355" w14:textId="1BC51D83" w:rsidR="00CE4D71" w:rsidRPr="008730E0" w:rsidRDefault="008730E0" w:rsidP="009B74C8">
      <w:pPr>
        <w:pStyle w:val="ListParagraph"/>
        <w:numPr>
          <w:ilvl w:val="0"/>
          <w:numId w:val="3"/>
        </w:numPr>
        <w:ind w:left="567"/>
        <w:rPr>
          <w:rFonts w:cs="Arial"/>
        </w:rPr>
      </w:pPr>
      <w:r>
        <w:rPr>
          <w:shd w:val="clear" w:color="auto" w:fill="FFFFFF"/>
        </w:rPr>
        <w:t>A</w:t>
      </w:r>
      <w:r w:rsidR="008203C5">
        <w:rPr>
          <w:shd w:val="clear" w:color="auto" w:fill="FFFFFF"/>
        </w:rPr>
        <w:t>ny b</w:t>
      </w:r>
      <w:r w:rsidR="0073725D">
        <w:rPr>
          <w:shd w:val="clear" w:color="auto" w:fill="FFFFFF"/>
        </w:rPr>
        <w:t xml:space="preserve">iohazardous </w:t>
      </w:r>
      <w:r w:rsidR="008203C5">
        <w:rPr>
          <w:shd w:val="clear" w:color="auto" w:fill="FFFFFF"/>
        </w:rPr>
        <w:t>w</w:t>
      </w:r>
      <w:r w:rsidR="0073725D">
        <w:rPr>
          <w:shd w:val="clear" w:color="auto" w:fill="FFFFFF"/>
        </w:rPr>
        <w:t xml:space="preserve">ork </w:t>
      </w:r>
      <w:r>
        <w:rPr>
          <w:shd w:val="clear" w:color="auto" w:fill="FFFFFF"/>
        </w:rPr>
        <w:t xml:space="preserve">occurring at the BI </w:t>
      </w:r>
      <w:r w:rsidR="0055007F" w:rsidRPr="00CE4D71">
        <w:rPr>
          <w:rFonts w:cs="Arial"/>
        </w:rPr>
        <w:t xml:space="preserve">must </w:t>
      </w:r>
      <w:r w:rsidR="0073725D">
        <w:rPr>
          <w:rFonts w:cs="Arial"/>
        </w:rPr>
        <w:t>adhere to</w:t>
      </w:r>
      <w:r w:rsidR="0055007F" w:rsidRPr="00CE4D71">
        <w:rPr>
          <w:rFonts w:cs="Arial"/>
        </w:rPr>
        <w:t xml:space="preserve"> McMaster University</w:t>
      </w:r>
      <w:r w:rsidR="0073725D">
        <w:rPr>
          <w:rFonts w:cs="Arial"/>
        </w:rPr>
        <w:t>’s</w:t>
      </w:r>
      <w:r w:rsidR="0055007F" w:rsidRPr="00CE4D71">
        <w:rPr>
          <w:rFonts w:cs="Arial"/>
        </w:rPr>
        <w:t xml:space="preserve"> </w:t>
      </w:r>
      <w:r w:rsidR="00657DD0" w:rsidRPr="00CE4D71">
        <w:rPr>
          <w:rFonts w:cs="Arial"/>
        </w:rPr>
        <w:t>b</w:t>
      </w:r>
      <w:r w:rsidR="0055007F" w:rsidRPr="00CE4D71">
        <w:rPr>
          <w:rFonts w:cs="Arial"/>
        </w:rPr>
        <w:t>iosafety guidelines</w:t>
      </w:r>
      <w:r w:rsidR="00657DD0" w:rsidRPr="00CE4D71">
        <w:rPr>
          <w:rFonts w:cs="Arial"/>
        </w:rPr>
        <w:t xml:space="preserve"> and applicable RMMs</w:t>
      </w:r>
      <w:r w:rsidR="00037767" w:rsidRPr="00CE4D71">
        <w:rPr>
          <w:rFonts w:cs="Arial"/>
        </w:rPr>
        <w:t xml:space="preserve"> and </w:t>
      </w:r>
      <w:r w:rsidR="0055007F">
        <w:t>be approved by</w:t>
      </w:r>
      <w:r w:rsidR="004C2B44">
        <w:t xml:space="preserve"> the </w:t>
      </w:r>
      <w:r w:rsidR="0055007F">
        <w:t>McMaster Biosafety Office</w:t>
      </w:r>
      <w:r w:rsidR="005258B6">
        <w:t xml:space="preserve"> </w:t>
      </w:r>
      <w:r w:rsidR="004C2B44">
        <w:t>and the McMaster</w:t>
      </w:r>
      <w:r w:rsidR="0055007F">
        <w:t xml:space="preserve"> Presidential </w:t>
      </w:r>
      <w:r w:rsidR="00173C8B">
        <w:t xml:space="preserve">Biosafety Advisory </w:t>
      </w:r>
      <w:r w:rsidR="0055007F">
        <w:t>Committee</w:t>
      </w:r>
      <w:r w:rsidR="004C2B44">
        <w:t xml:space="preserve"> (PHAC)</w:t>
      </w:r>
      <w:r>
        <w:t xml:space="preserve">. Refer to </w:t>
      </w:r>
      <w:r w:rsidRPr="008730E0">
        <w:rPr>
          <w:u w:val="single"/>
        </w:rPr>
        <w:t>RMM #600: Biosafety Program</w:t>
      </w:r>
      <w:r>
        <w:t>.</w:t>
      </w:r>
      <w:r w:rsidR="0073725D">
        <w:t xml:space="preserve"> </w:t>
      </w:r>
    </w:p>
    <w:p w14:paraId="78DE4081" w14:textId="3D4B3E14" w:rsidR="008730E0" w:rsidRPr="0073725D" w:rsidRDefault="008730E0" w:rsidP="009B74C8">
      <w:pPr>
        <w:pStyle w:val="ListParagraph"/>
        <w:numPr>
          <w:ilvl w:val="0"/>
          <w:numId w:val="3"/>
        </w:numPr>
        <w:ind w:left="567"/>
        <w:rPr>
          <w:rFonts w:cs="Arial"/>
        </w:rPr>
      </w:pPr>
      <w:r>
        <w:t>BI users and supervisors working with biohazardous materials must be captured and approved on a McMaster Biological Utilization Protocol (BUP).</w:t>
      </w:r>
    </w:p>
    <w:p w14:paraId="17A1ACDA" w14:textId="5A4A08AD" w:rsidR="008730E0" w:rsidRDefault="008730E0" w:rsidP="009B74C8">
      <w:pPr>
        <w:pStyle w:val="ListParagraph"/>
        <w:numPr>
          <w:ilvl w:val="0"/>
          <w:numId w:val="3"/>
        </w:numPr>
        <w:ind w:left="567"/>
      </w:pPr>
      <w:r w:rsidRPr="008730E0">
        <w:rPr>
          <w:bCs/>
        </w:rPr>
        <w:t>All</w:t>
      </w:r>
      <w:r>
        <w:t xml:space="preserve"> biohazardous work in BI laboratories must </w:t>
      </w:r>
      <w:r w:rsidRPr="008730E0">
        <w:t>be approved</w:t>
      </w:r>
      <w:r>
        <w:t xml:space="preserve"> by the BI Biological Research Technician and BI Director. Consultation with the Biosafety Office may be required. Permission to work in BI laboratories is at the discretion of BI staff.</w:t>
      </w:r>
    </w:p>
    <w:p w14:paraId="5A96C7DD" w14:textId="77777777" w:rsidR="00CA5CDC" w:rsidRDefault="00CA5CDC" w:rsidP="00CA5CDC">
      <w:pPr>
        <w:pStyle w:val="Heading2"/>
      </w:pPr>
      <w:r>
        <w:t>BI Biological Work &amp; BUP</w:t>
      </w:r>
    </w:p>
    <w:p w14:paraId="166E9401" w14:textId="24286A33" w:rsidR="0026349D" w:rsidRDefault="00CA5CDC" w:rsidP="00C0580A">
      <w:pPr>
        <w:pStyle w:val="ListParagraph"/>
        <w:widowControl w:val="0"/>
        <w:numPr>
          <w:ilvl w:val="0"/>
          <w:numId w:val="30"/>
        </w:numPr>
        <w:autoSpaceDE w:val="0"/>
        <w:autoSpaceDN w:val="0"/>
        <w:adjustRightInd w:val="0"/>
        <w:ind w:left="540"/>
      </w:pPr>
      <w:r>
        <w:t xml:space="preserve">The BI </w:t>
      </w:r>
      <w:r w:rsidR="008730E0">
        <w:t xml:space="preserve">facility </w:t>
      </w:r>
      <w:r>
        <w:t xml:space="preserve">BUP is approved for </w:t>
      </w:r>
      <w:r w:rsidR="00C0580A">
        <w:t>C</w:t>
      </w:r>
      <w:r>
        <w:t xml:space="preserve">L-1 work in </w:t>
      </w:r>
      <w:r w:rsidR="0026349D">
        <w:t>ETB 417, 418, 419, 420A, 421, 423, 424 and 435,</w:t>
      </w:r>
      <w:r>
        <w:t xml:space="preserve"> and </w:t>
      </w:r>
      <w:r w:rsidR="00C0580A">
        <w:t>C</w:t>
      </w:r>
      <w:r>
        <w:t xml:space="preserve">L-2 work in </w:t>
      </w:r>
      <w:r w:rsidR="0026349D">
        <w:t>ETB 420 and 425</w:t>
      </w:r>
      <w:r>
        <w:t xml:space="preserve">. </w:t>
      </w:r>
    </w:p>
    <w:p w14:paraId="368F25A1" w14:textId="74204E73" w:rsidR="00C0580A" w:rsidRDefault="00C0580A" w:rsidP="00C0580A">
      <w:pPr>
        <w:pStyle w:val="ListParagraph"/>
        <w:widowControl w:val="0"/>
        <w:numPr>
          <w:ilvl w:val="0"/>
          <w:numId w:val="30"/>
        </w:numPr>
        <w:autoSpaceDE w:val="0"/>
        <w:autoSpaceDN w:val="0"/>
        <w:adjustRightInd w:val="0"/>
        <w:ind w:left="540"/>
      </w:pPr>
      <w:r>
        <w:t>Work with animal products may be allowed, following approval from the biosafety office, applicable ethics committees, and perhaps the central animal facility. See the BI Biological Technician for more information.</w:t>
      </w:r>
    </w:p>
    <w:p w14:paraId="28AA7891" w14:textId="3B1487F7" w:rsidR="00C0580A" w:rsidRDefault="00CA5CDC" w:rsidP="00C0580A">
      <w:pPr>
        <w:pStyle w:val="ListParagraph"/>
        <w:widowControl w:val="0"/>
        <w:numPr>
          <w:ilvl w:val="0"/>
          <w:numId w:val="30"/>
        </w:numPr>
        <w:autoSpaceDE w:val="0"/>
        <w:autoSpaceDN w:val="0"/>
        <w:adjustRightInd w:val="0"/>
        <w:ind w:left="540"/>
      </w:pPr>
      <w:r w:rsidRPr="00A26898">
        <w:t>Work with laboratory animals</w:t>
      </w:r>
      <w:r w:rsidR="000A0949">
        <w:t xml:space="preserve"> </w:t>
      </w:r>
      <w:r w:rsidR="00C0580A" w:rsidRPr="00A26898">
        <w:t>is prohibited within BI facilities</w:t>
      </w:r>
      <w:r w:rsidR="00C0580A">
        <w:t>.</w:t>
      </w:r>
    </w:p>
    <w:p w14:paraId="657E58B4" w14:textId="23816589" w:rsidR="00CA5CDC" w:rsidRDefault="00C0580A" w:rsidP="00C0580A">
      <w:pPr>
        <w:pStyle w:val="ListParagraph"/>
        <w:widowControl w:val="0"/>
        <w:numPr>
          <w:ilvl w:val="0"/>
          <w:numId w:val="30"/>
        </w:numPr>
        <w:autoSpaceDE w:val="0"/>
        <w:autoSpaceDN w:val="0"/>
        <w:adjustRightInd w:val="0"/>
        <w:ind w:left="540"/>
      </w:pPr>
      <w:r w:rsidRPr="00A26898">
        <w:t xml:space="preserve">Work with </w:t>
      </w:r>
      <w:r w:rsidR="000A0949">
        <w:t xml:space="preserve">anything higher than </w:t>
      </w:r>
      <w:r>
        <w:t>C</w:t>
      </w:r>
      <w:r w:rsidR="000A0949">
        <w:t>L-2</w:t>
      </w:r>
      <w:r>
        <w:t xml:space="preserve"> is not authorized without approval from PBAC, the BI Biological Research Technician and BI Director.</w:t>
      </w:r>
    </w:p>
    <w:p w14:paraId="3B1DCF0D" w14:textId="77777777" w:rsidR="00E211FB" w:rsidRPr="00372F83" w:rsidRDefault="00E211FB" w:rsidP="00C0580A">
      <w:pPr>
        <w:pStyle w:val="ListParagraph"/>
        <w:numPr>
          <w:ilvl w:val="0"/>
          <w:numId w:val="30"/>
        </w:numPr>
        <w:ind w:left="540"/>
      </w:pPr>
      <w:r>
        <w:t xml:space="preserve">BUPs and affiliated laboratory locations and inventory are subject to routine audits by the McMaster Biosafety Office. Refer to the </w:t>
      </w:r>
      <w:r w:rsidRPr="008E47D4">
        <w:rPr>
          <w:u w:val="single"/>
        </w:rPr>
        <w:t>BI Inspection Policy</w:t>
      </w:r>
      <w:r>
        <w:t>.</w:t>
      </w:r>
    </w:p>
    <w:p w14:paraId="019D0184" w14:textId="18BAE311" w:rsidR="00CA5CDC" w:rsidRPr="00A26898" w:rsidRDefault="00CA5CDC" w:rsidP="00C0580A">
      <w:pPr>
        <w:widowControl w:val="0"/>
        <w:numPr>
          <w:ilvl w:val="0"/>
          <w:numId w:val="30"/>
        </w:numPr>
        <w:autoSpaceDE w:val="0"/>
        <w:autoSpaceDN w:val="0"/>
        <w:adjustRightInd w:val="0"/>
        <w:ind w:left="540"/>
        <w:rPr>
          <w:rFonts w:cs="Arial"/>
          <w:szCs w:val="24"/>
        </w:rPr>
      </w:pPr>
      <w:r w:rsidRPr="00A26898">
        <w:rPr>
          <w:rFonts w:cs="Arial"/>
          <w:szCs w:val="24"/>
        </w:rPr>
        <w:t>A copy of the BI BUP, inventory</w:t>
      </w:r>
      <w:r w:rsidR="00343CA2">
        <w:rPr>
          <w:rFonts w:cs="Arial"/>
          <w:szCs w:val="24"/>
        </w:rPr>
        <w:t>, transfer agreements,</w:t>
      </w:r>
      <w:r w:rsidRPr="00A26898">
        <w:rPr>
          <w:rFonts w:cs="Arial"/>
          <w:szCs w:val="24"/>
        </w:rPr>
        <w:t xml:space="preserve"> and audit </w:t>
      </w:r>
      <w:r>
        <w:rPr>
          <w:rFonts w:cs="Arial"/>
          <w:szCs w:val="24"/>
        </w:rPr>
        <w:t xml:space="preserve">inspections </w:t>
      </w:r>
      <w:r w:rsidRPr="00A26898">
        <w:rPr>
          <w:rFonts w:cs="Arial"/>
          <w:szCs w:val="24"/>
        </w:rPr>
        <w:t xml:space="preserve">will </w:t>
      </w:r>
      <w:r>
        <w:rPr>
          <w:rFonts w:cs="Arial"/>
          <w:szCs w:val="24"/>
        </w:rPr>
        <w:t>be stored in the BI office area</w:t>
      </w:r>
      <w:r w:rsidR="008730E0">
        <w:rPr>
          <w:rFonts w:cs="Arial"/>
          <w:szCs w:val="24"/>
        </w:rPr>
        <w:t>s and with BI staff</w:t>
      </w:r>
      <w:r>
        <w:rPr>
          <w:rFonts w:cs="Arial"/>
          <w:szCs w:val="24"/>
        </w:rPr>
        <w:t xml:space="preserve">. Refer to the </w:t>
      </w:r>
      <w:r w:rsidRPr="00AC6A2C">
        <w:rPr>
          <w:rFonts w:cs="Arial"/>
          <w:szCs w:val="24"/>
          <w:u w:val="single"/>
        </w:rPr>
        <w:t>BI Documentation Policy</w:t>
      </w:r>
      <w:r>
        <w:rPr>
          <w:rFonts w:cs="Arial"/>
          <w:szCs w:val="24"/>
        </w:rPr>
        <w:t>.</w:t>
      </w:r>
    </w:p>
    <w:p w14:paraId="7F4FC59E" w14:textId="77777777" w:rsidR="004022A1" w:rsidRDefault="00CA5CDC" w:rsidP="004022A1">
      <w:pPr>
        <w:pStyle w:val="Heading2"/>
      </w:pPr>
      <w:r>
        <w:t>User</w:t>
      </w:r>
      <w:r w:rsidR="004022A1">
        <w:t xml:space="preserve"> </w:t>
      </w:r>
      <w:r>
        <w:t xml:space="preserve">Biological Work &amp; BUP </w:t>
      </w:r>
    </w:p>
    <w:p w14:paraId="3F56EA4C" w14:textId="27D00FA1" w:rsidR="00E211FB" w:rsidRPr="0026349D" w:rsidRDefault="008730E0" w:rsidP="00107CAC">
      <w:pPr>
        <w:widowControl w:val="0"/>
        <w:numPr>
          <w:ilvl w:val="0"/>
          <w:numId w:val="7"/>
        </w:numPr>
        <w:autoSpaceDE w:val="0"/>
        <w:autoSpaceDN w:val="0"/>
        <w:adjustRightInd w:val="0"/>
        <w:ind w:left="567"/>
        <w:rPr>
          <w:rFonts w:cs="Arial"/>
          <w:szCs w:val="24"/>
        </w:rPr>
      </w:pPr>
      <w:r w:rsidRPr="0026349D">
        <w:rPr>
          <w:shd w:val="clear" w:color="auto" w:fill="FFFFFF"/>
        </w:rPr>
        <w:t>Prior to performing biological work in the BI, t</w:t>
      </w:r>
      <w:r w:rsidR="00E211FB" w:rsidRPr="0026349D">
        <w:rPr>
          <w:shd w:val="clear" w:color="auto" w:fill="FFFFFF"/>
        </w:rPr>
        <w:t>he user</w:t>
      </w:r>
      <w:r w:rsidRPr="0026349D">
        <w:rPr>
          <w:shd w:val="clear" w:color="auto" w:fill="FFFFFF"/>
        </w:rPr>
        <w:t xml:space="preserve">’s supervisor must have an approved BUP that includes the user(s), relevant </w:t>
      </w:r>
      <w:r w:rsidR="00E211FB" w:rsidRPr="0026349D">
        <w:rPr>
          <w:shd w:val="clear" w:color="auto" w:fill="FFFFFF"/>
        </w:rPr>
        <w:t>inventory and biohazardous work</w:t>
      </w:r>
      <w:r w:rsidRPr="0026349D">
        <w:rPr>
          <w:shd w:val="clear" w:color="auto" w:fill="FFFFFF"/>
        </w:rPr>
        <w:t xml:space="preserve"> and techniques</w:t>
      </w:r>
      <w:r w:rsidR="006E5452" w:rsidRPr="0026349D">
        <w:rPr>
          <w:shd w:val="clear" w:color="auto" w:fill="FFFFFF"/>
        </w:rPr>
        <w:t>.</w:t>
      </w:r>
      <w:r w:rsidR="006E5452" w:rsidRPr="006E5452">
        <w:t xml:space="preserve"> </w:t>
      </w:r>
      <w:r w:rsidR="006E5452" w:rsidRPr="0026349D">
        <w:rPr>
          <w:rFonts w:cs="Arial"/>
          <w:szCs w:val="24"/>
        </w:rPr>
        <w:t>The</w:t>
      </w:r>
      <w:r w:rsidR="007F341B" w:rsidRPr="0026349D">
        <w:rPr>
          <w:rFonts w:cs="Arial"/>
          <w:szCs w:val="24"/>
        </w:rPr>
        <w:t xml:space="preserve"> BUP</w:t>
      </w:r>
      <w:r w:rsidR="00631D90" w:rsidRPr="0026349D">
        <w:rPr>
          <w:rFonts w:cs="Arial"/>
          <w:szCs w:val="24"/>
        </w:rPr>
        <w:t xml:space="preserve"> must be </w:t>
      </w:r>
      <w:r w:rsidR="00631D90" w:rsidRPr="0026349D">
        <w:rPr>
          <w:rFonts w:cs="Arial"/>
          <w:bCs/>
          <w:szCs w:val="24"/>
        </w:rPr>
        <w:t>amended</w:t>
      </w:r>
      <w:r w:rsidR="00631D90" w:rsidRPr="0026349D">
        <w:rPr>
          <w:rFonts w:cs="Arial"/>
          <w:szCs w:val="24"/>
        </w:rPr>
        <w:t xml:space="preserve"> to include relevant BI </w:t>
      </w:r>
      <w:r w:rsidR="0026349D" w:rsidRPr="0026349D">
        <w:rPr>
          <w:rFonts w:cs="Arial"/>
          <w:szCs w:val="24"/>
        </w:rPr>
        <w:t>labs</w:t>
      </w:r>
      <w:r w:rsidR="00631D90" w:rsidRPr="0026349D">
        <w:rPr>
          <w:rFonts w:cs="Arial"/>
          <w:szCs w:val="24"/>
        </w:rPr>
        <w:t xml:space="preserve"> and equipment</w:t>
      </w:r>
      <w:r w:rsidR="0026349D">
        <w:rPr>
          <w:rFonts w:cs="Arial"/>
          <w:szCs w:val="24"/>
        </w:rPr>
        <w:t xml:space="preserve"> and </w:t>
      </w:r>
      <w:r w:rsidR="003043CC" w:rsidRPr="0026349D">
        <w:rPr>
          <w:rFonts w:cs="Arial"/>
          <w:szCs w:val="24"/>
        </w:rPr>
        <w:t>is subject to review by the BI</w:t>
      </w:r>
      <w:r w:rsidR="0026349D">
        <w:rPr>
          <w:rFonts w:cs="Arial"/>
          <w:szCs w:val="24"/>
        </w:rPr>
        <w:t xml:space="preserve"> Biological Research Technician, as needed,</w:t>
      </w:r>
      <w:r w:rsidR="003043CC" w:rsidRPr="0026349D">
        <w:rPr>
          <w:rFonts w:cs="Arial"/>
          <w:szCs w:val="24"/>
        </w:rPr>
        <w:t xml:space="preserve"> to ensure information is accurate. </w:t>
      </w:r>
    </w:p>
    <w:p w14:paraId="68ED10C0" w14:textId="4B84D8E3" w:rsidR="00CC5555" w:rsidRDefault="00CC5555" w:rsidP="009B74C8">
      <w:pPr>
        <w:pStyle w:val="ListParagraph"/>
        <w:numPr>
          <w:ilvl w:val="0"/>
          <w:numId w:val="7"/>
        </w:numPr>
        <w:ind w:left="567"/>
        <w:rPr>
          <w:rFonts w:cs="Arial"/>
        </w:rPr>
      </w:pPr>
      <w:bookmarkStart w:id="3" w:name="_Hlk17200823"/>
      <w:bookmarkStart w:id="4" w:name="_Toc339871410"/>
      <w:bookmarkStart w:id="5" w:name="_Toc370997487"/>
      <w:r>
        <w:rPr>
          <w:rFonts w:cs="Arial"/>
        </w:rPr>
        <w:t xml:space="preserve">Biohazardous </w:t>
      </w:r>
      <w:r w:rsidR="008730E0">
        <w:rPr>
          <w:rFonts w:cs="Arial"/>
        </w:rPr>
        <w:t>work</w:t>
      </w:r>
      <w:r>
        <w:rPr>
          <w:rFonts w:cs="Arial"/>
        </w:rPr>
        <w:t xml:space="preserve"> must be</w:t>
      </w:r>
      <w:r w:rsidR="0026349D">
        <w:rPr>
          <w:rFonts w:cs="Arial"/>
        </w:rPr>
        <w:t xml:space="preserve"> in accordance with BI policies and facilities. Biological inventory must be</w:t>
      </w:r>
      <w:r>
        <w:rPr>
          <w:rFonts w:cs="Arial"/>
        </w:rPr>
        <w:t xml:space="preserve"> </w:t>
      </w:r>
      <w:r w:rsidR="008730E0">
        <w:rPr>
          <w:rFonts w:cs="Arial"/>
        </w:rPr>
        <w:t>susceptible to</w:t>
      </w:r>
      <w:r>
        <w:rPr>
          <w:rFonts w:cs="Arial"/>
        </w:rPr>
        <w:t xml:space="preserve"> decontaminated with 70% ethanol and bleach. If other decontamination chemicals are required, they must be provided</w:t>
      </w:r>
      <w:r w:rsidR="0026349D">
        <w:rPr>
          <w:rFonts w:cs="Arial"/>
        </w:rPr>
        <w:t xml:space="preserve"> and stored within relevant</w:t>
      </w:r>
      <w:r>
        <w:rPr>
          <w:rFonts w:cs="Arial"/>
        </w:rPr>
        <w:t xml:space="preserve"> BI laboratories by the user</w:t>
      </w:r>
      <w:r w:rsidR="003043CC">
        <w:rPr>
          <w:rFonts w:cs="Arial"/>
        </w:rPr>
        <w:t xml:space="preserve">, </w:t>
      </w:r>
      <w:r w:rsidR="008730E0">
        <w:rPr>
          <w:rFonts w:cs="Arial"/>
        </w:rPr>
        <w:t xml:space="preserve">user’s </w:t>
      </w:r>
      <w:r>
        <w:rPr>
          <w:rFonts w:cs="Arial"/>
        </w:rPr>
        <w:t>supervisor</w:t>
      </w:r>
      <w:r w:rsidR="008730E0">
        <w:rPr>
          <w:rFonts w:cs="Arial"/>
        </w:rPr>
        <w:t>,</w:t>
      </w:r>
      <w:r w:rsidR="003043CC">
        <w:rPr>
          <w:rFonts w:cs="Arial"/>
        </w:rPr>
        <w:t xml:space="preserve"> or BUP Principle Investigator</w:t>
      </w:r>
      <w:bookmarkEnd w:id="3"/>
      <w:r>
        <w:rPr>
          <w:rFonts w:cs="Arial"/>
        </w:rPr>
        <w:t xml:space="preserve">. </w:t>
      </w:r>
    </w:p>
    <w:bookmarkEnd w:id="4"/>
    <w:bookmarkEnd w:id="5"/>
    <w:p w14:paraId="7B87ED2D" w14:textId="31E2AF3A" w:rsidR="001F505A" w:rsidRDefault="001F505A" w:rsidP="001F505A">
      <w:pPr>
        <w:pStyle w:val="Heading2"/>
      </w:pPr>
      <w:r>
        <w:lastRenderedPageBreak/>
        <w:t>Training</w:t>
      </w:r>
    </w:p>
    <w:p w14:paraId="3C89189A" w14:textId="0CAD3E71" w:rsidR="001F505A" w:rsidRDefault="001F505A" w:rsidP="009B74C8">
      <w:pPr>
        <w:pStyle w:val="ListParagraph"/>
        <w:numPr>
          <w:ilvl w:val="0"/>
          <w:numId w:val="25"/>
        </w:numPr>
        <w:ind w:left="567"/>
      </w:pPr>
      <w:r>
        <w:t xml:space="preserve">BI Users must have the required McMaster safety training modules for working with biohazardous materials; refer to the </w:t>
      </w:r>
      <w:r w:rsidRPr="001F505A">
        <w:rPr>
          <w:u w:val="single"/>
        </w:rPr>
        <w:t>BI Training Policy</w:t>
      </w:r>
      <w:r>
        <w:t>.</w:t>
      </w:r>
    </w:p>
    <w:p w14:paraId="62E5710E" w14:textId="31DA804D" w:rsidR="001F505A" w:rsidRDefault="001F505A" w:rsidP="009B74C8">
      <w:pPr>
        <w:pStyle w:val="ListParagraph"/>
        <w:numPr>
          <w:ilvl w:val="0"/>
          <w:numId w:val="25"/>
        </w:numPr>
        <w:ind w:left="567"/>
      </w:pPr>
      <w:r>
        <w:t xml:space="preserve">Prior to working independently in </w:t>
      </w:r>
      <w:r w:rsidR="00C0580A">
        <w:t>C</w:t>
      </w:r>
      <w:r>
        <w:t xml:space="preserve">L-2 labs, users must receive on-site training with respect to lab specific guidelines and equipment from qualified BI staff. Refer to the specific </w:t>
      </w:r>
      <w:r w:rsidRPr="00343CA2">
        <w:rPr>
          <w:u w:val="single"/>
        </w:rPr>
        <w:t>BI Biohazardous Work Policy – ETB 420 or ETB 425</w:t>
      </w:r>
      <w:r>
        <w:t>.</w:t>
      </w:r>
    </w:p>
    <w:p w14:paraId="13054A1D" w14:textId="77777777" w:rsidR="00750586" w:rsidRDefault="00750586" w:rsidP="00750586">
      <w:pPr>
        <w:pStyle w:val="Heading2"/>
      </w:pPr>
      <w:r>
        <w:t xml:space="preserve">Laboratory Entry </w:t>
      </w:r>
    </w:p>
    <w:p w14:paraId="4CF8FDD2" w14:textId="77777777" w:rsidR="00750586" w:rsidRDefault="00750586" w:rsidP="00750586">
      <w:pPr>
        <w:pStyle w:val="ListParagraph"/>
        <w:numPr>
          <w:ilvl w:val="0"/>
          <w:numId w:val="31"/>
        </w:numPr>
        <w:ind w:left="540"/>
      </w:pPr>
      <w:bookmarkStart w:id="6" w:name="_Hlk66885909"/>
      <w:r>
        <w:t>Ensure personal belongings are stored outside the lab area. Any items brought into the lab space should be kept to a minimum and handling of such items should be in a manor to avoid cross-contamination with hazardous and biohazardous items (see below).</w:t>
      </w:r>
    </w:p>
    <w:p w14:paraId="072E3F7A" w14:textId="77777777" w:rsidR="00750586" w:rsidRDefault="00750586" w:rsidP="00750586">
      <w:pPr>
        <w:pStyle w:val="ListParagraph"/>
        <w:numPr>
          <w:ilvl w:val="0"/>
          <w:numId w:val="31"/>
        </w:numPr>
        <w:ind w:left="540"/>
      </w:pPr>
      <w:r>
        <w:t xml:space="preserve">Ensure you have the appropriate lab-area attire (e.g. pants, closed-toed/heeled shoes) before entering and starting work. Refer to the </w:t>
      </w:r>
      <w:r w:rsidRPr="00242983">
        <w:rPr>
          <w:u w:val="single"/>
        </w:rPr>
        <w:t>BI PPE Policy</w:t>
      </w:r>
      <w:r>
        <w:t>.</w:t>
      </w:r>
    </w:p>
    <w:bookmarkEnd w:id="6"/>
    <w:p w14:paraId="1445EB2A" w14:textId="77777777" w:rsidR="00750586" w:rsidRDefault="00750586" w:rsidP="00750586">
      <w:pPr>
        <w:pStyle w:val="ListParagraph"/>
        <w:numPr>
          <w:ilvl w:val="0"/>
          <w:numId w:val="31"/>
        </w:numPr>
        <w:ind w:left="540"/>
      </w:pPr>
      <w:r>
        <w:t>Prior to entering a lab, read the door signage for any location-specific entry protocols, potential hazards and emergency equipment.</w:t>
      </w:r>
    </w:p>
    <w:p w14:paraId="595B5471" w14:textId="77777777" w:rsidR="00750586" w:rsidRDefault="00750586" w:rsidP="00750586">
      <w:pPr>
        <w:pStyle w:val="ListParagraph"/>
        <w:numPr>
          <w:ilvl w:val="0"/>
          <w:numId w:val="31"/>
        </w:numPr>
        <w:ind w:left="540"/>
      </w:pPr>
      <w:r>
        <w:t xml:space="preserve">Don a lab coat and appropriate PPE. PPE is required when handling hazardous and biohazardous materials, or when there is a risk of exposure to such materials (i.e. sitting or standing close by hazardous activities). Refer to the </w:t>
      </w:r>
      <w:r w:rsidRPr="00242983">
        <w:rPr>
          <w:u w:val="single"/>
        </w:rPr>
        <w:t>BI PPE Policy</w:t>
      </w:r>
      <w:r>
        <w:t>.</w:t>
      </w:r>
    </w:p>
    <w:p w14:paraId="1FC35702" w14:textId="77777777" w:rsidR="00750586" w:rsidRDefault="00750586" w:rsidP="00750586">
      <w:pPr>
        <w:pStyle w:val="Heading2"/>
      </w:pPr>
      <w:r>
        <w:t>Laboratory Exit</w:t>
      </w:r>
    </w:p>
    <w:p w14:paraId="23EDA70B" w14:textId="77777777" w:rsidR="00750586" w:rsidRDefault="00750586" w:rsidP="00750586">
      <w:pPr>
        <w:pStyle w:val="ListParagraph"/>
        <w:numPr>
          <w:ilvl w:val="0"/>
          <w:numId w:val="32"/>
        </w:numPr>
        <w:ind w:left="540"/>
      </w:pPr>
      <w:r>
        <w:t>When work is complete and relevant items/equipment decontaminated, remove gloves. Discard into the appropriate waste stream.</w:t>
      </w:r>
    </w:p>
    <w:p w14:paraId="6F2E1720" w14:textId="77777777" w:rsidR="00750586" w:rsidRDefault="00750586" w:rsidP="00750586">
      <w:pPr>
        <w:pStyle w:val="ListParagraph"/>
        <w:numPr>
          <w:ilvl w:val="0"/>
          <w:numId w:val="32"/>
        </w:numPr>
        <w:ind w:left="540"/>
      </w:pPr>
      <w:r>
        <w:t>Don new gloves to remove eye/face and respiratory protection, as needed. Ensure items are cleaned prior to returning to storage location and discard gloves appropriately.</w:t>
      </w:r>
    </w:p>
    <w:p w14:paraId="563A276D" w14:textId="77777777" w:rsidR="00750586" w:rsidRDefault="00750586" w:rsidP="00750586">
      <w:pPr>
        <w:pStyle w:val="ListParagraph"/>
        <w:numPr>
          <w:ilvl w:val="0"/>
          <w:numId w:val="32"/>
        </w:numPr>
        <w:ind w:left="540"/>
      </w:pPr>
      <w:r>
        <w:t>Verify cold unit doors are closed, unnecessary equipment is turned off.</w:t>
      </w:r>
    </w:p>
    <w:p w14:paraId="100763BB" w14:textId="77777777" w:rsidR="00750586" w:rsidRDefault="00750586" w:rsidP="00750586">
      <w:pPr>
        <w:pStyle w:val="ListParagraph"/>
        <w:numPr>
          <w:ilvl w:val="0"/>
          <w:numId w:val="32"/>
        </w:numPr>
        <w:ind w:left="540"/>
      </w:pPr>
      <w:r>
        <w:t>Wash hands with soap before leaving.</w:t>
      </w:r>
    </w:p>
    <w:p w14:paraId="0689BC54" w14:textId="77777777" w:rsidR="00750586" w:rsidRDefault="00750586" w:rsidP="00750586">
      <w:pPr>
        <w:pStyle w:val="ListParagraph"/>
        <w:numPr>
          <w:ilvl w:val="0"/>
          <w:numId w:val="32"/>
        </w:numPr>
        <w:ind w:left="540"/>
      </w:pPr>
      <w:r>
        <w:t xml:space="preserve">Return lab coat to designated storage location. </w:t>
      </w:r>
    </w:p>
    <w:p w14:paraId="6D0A8940" w14:textId="77777777" w:rsidR="00750586" w:rsidRDefault="00750586" w:rsidP="00750586">
      <w:pPr>
        <w:pStyle w:val="ListParagraph"/>
        <w:numPr>
          <w:ilvl w:val="0"/>
          <w:numId w:val="32"/>
        </w:numPr>
        <w:ind w:left="540"/>
      </w:pPr>
      <w:r>
        <w:t>Exit the lab/facility ensuring doors close and are secured behind you.</w:t>
      </w:r>
    </w:p>
    <w:p w14:paraId="4A30E9CB" w14:textId="44869ED3" w:rsidR="001F505A" w:rsidRDefault="001F505A" w:rsidP="001F505A">
      <w:pPr>
        <w:pStyle w:val="Heading2"/>
      </w:pPr>
      <w:r>
        <w:t>Biosecurity</w:t>
      </w:r>
    </w:p>
    <w:p w14:paraId="5185DBAC" w14:textId="7E5A8EA9" w:rsidR="001F505A" w:rsidRDefault="001F505A" w:rsidP="009B74C8">
      <w:pPr>
        <w:widowControl w:val="0"/>
        <w:numPr>
          <w:ilvl w:val="0"/>
          <w:numId w:val="23"/>
        </w:numPr>
        <w:autoSpaceDE w:val="0"/>
        <w:autoSpaceDN w:val="0"/>
        <w:adjustRightInd w:val="0"/>
        <w:ind w:left="567"/>
        <w:rPr>
          <w:rFonts w:cs="Arial"/>
          <w:szCs w:val="24"/>
        </w:rPr>
      </w:pPr>
      <w:r>
        <w:rPr>
          <w:rFonts w:cs="Arial"/>
          <w:szCs w:val="24"/>
        </w:rPr>
        <w:t>Biohazardous workers must comply with the</w:t>
      </w:r>
      <w:r w:rsidR="005E5E3B">
        <w:rPr>
          <w:rFonts w:cs="Arial"/>
          <w:szCs w:val="24"/>
        </w:rPr>
        <w:t xml:space="preserve"> Biosafety Office and the </w:t>
      </w:r>
      <w:r w:rsidRPr="00D06214">
        <w:rPr>
          <w:rFonts w:cs="Arial"/>
          <w:szCs w:val="24"/>
          <w:u w:val="single"/>
        </w:rPr>
        <w:t>BI Biosecurity</w:t>
      </w:r>
      <w:r w:rsidRPr="008E47D4">
        <w:rPr>
          <w:rFonts w:cs="Arial"/>
          <w:szCs w:val="24"/>
          <w:u w:val="single"/>
        </w:rPr>
        <w:t xml:space="preserve"> Policy</w:t>
      </w:r>
      <w:r>
        <w:rPr>
          <w:rFonts w:cs="Arial"/>
          <w:szCs w:val="24"/>
        </w:rPr>
        <w:t xml:space="preserve"> </w:t>
      </w:r>
      <w:r w:rsidRPr="008E47D4">
        <w:t>to</w:t>
      </w:r>
      <w:r>
        <w:t xml:space="preserve"> ensure biohazardous materials are not lost, stolen, misused, or released from BI laboratories</w:t>
      </w:r>
      <w:r>
        <w:rPr>
          <w:rFonts w:cs="Arial"/>
          <w:szCs w:val="24"/>
        </w:rPr>
        <w:t>.</w:t>
      </w:r>
    </w:p>
    <w:p w14:paraId="71582A67" w14:textId="60C8B3CD" w:rsidR="001F505A" w:rsidRDefault="001F505A" w:rsidP="00B02013">
      <w:pPr>
        <w:pStyle w:val="Heading2"/>
      </w:pPr>
      <w:r>
        <w:t>Inventories</w:t>
      </w:r>
    </w:p>
    <w:p w14:paraId="23DCF006" w14:textId="1238C0B5" w:rsidR="005E5E3B" w:rsidRDefault="001F505A" w:rsidP="009B74C8">
      <w:pPr>
        <w:pStyle w:val="ListParagraph"/>
        <w:numPr>
          <w:ilvl w:val="0"/>
          <w:numId w:val="26"/>
        </w:numPr>
        <w:ind w:left="567"/>
      </w:pPr>
      <w:r>
        <w:t xml:space="preserve">BI Users must </w:t>
      </w:r>
      <w:r w:rsidR="005E5E3B">
        <w:t xml:space="preserve">comply with </w:t>
      </w:r>
      <w:r>
        <w:t xml:space="preserve">biohazard inventories </w:t>
      </w:r>
      <w:r w:rsidR="005E5E3B">
        <w:t>requirements from the Biosafety Office and disclose biohazard inventory measures to the BI Biological Research Technician</w:t>
      </w:r>
      <w:r>
        <w:t xml:space="preserve"> (refer to the </w:t>
      </w:r>
      <w:r w:rsidRPr="00E211FB">
        <w:rPr>
          <w:u w:val="single"/>
        </w:rPr>
        <w:t>BI Substance Policy</w:t>
      </w:r>
      <w:r>
        <w:t xml:space="preserve">). </w:t>
      </w:r>
    </w:p>
    <w:p w14:paraId="256725AA" w14:textId="610BFC5A" w:rsidR="001F505A" w:rsidRDefault="001F505A" w:rsidP="009B74C8">
      <w:pPr>
        <w:pStyle w:val="ListParagraph"/>
        <w:numPr>
          <w:ilvl w:val="0"/>
          <w:numId w:val="26"/>
        </w:numPr>
        <w:ind w:left="567"/>
      </w:pPr>
      <w:r>
        <w:t xml:space="preserve">Inventories are subject to internal audits by BI staff and the Biosafety Office. </w:t>
      </w:r>
    </w:p>
    <w:p w14:paraId="5EB38E63" w14:textId="174947E7" w:rsidR="00B02013" w:rsidRDefault="00343CA2" w:rsidP="00B02013">
      <w:pPr>
        <w:pStyle w:val="Heading2"/>
      </w:pPr>
      <w:r>
        <w:lastRenderedPageBreak/>
        <w:t>Transfer Agreements</w:t>
      </w:r>
    </w:p>
    <w:p w14:paraId="29BBEB0E" w14:textId="77777777" w:rsidR="005E5E3B" w:rsidRDefault="00343CA2" w:rsidP="009B74C8">
      <w:pPr>
        <w:pStyle w:val="ListParagraph"/>
        <w:numPr>
          <w:ilvl w:val="0"/>
          <w:numId w:val="17"/>
        </w:numPr>
        <w:ind w:left="567"/>
      </w:pPr>
      <w:r>
        <w:t xml:space="preserve">If receiving of shipping biohazardous agents outside McMaster, ensure </w:t>
      </w:r>
      <w:r w:rsidR="00B02013">
        <w:t>any transfer related communications (e.g. communication with Biosafety Officer and Customs office)</w:t>
      </w:r>
      <w:r>
        <w:t xml:space="preserve">, </w:t>
      </w:r>
      <w:r w:rsidR="00B02013">
        <w:t xml:space="preserve">affirmations (e.g. “appropriate laboratory facilities and trained personnel to handle the item safely” exist), </w:t>
      </w:r>
      <w:r>
        <w:t>import documents</w:t>
      </w:r>
      <w:r w:rsidR="00B02013">
        <w:t>, transfer documents, waybills, invoices and other related paperwork is kept on file.</w:t>
      </w:r>
      <w:r>
        <w:t xml:space="preserve"> Ensure each document is dated appropriately</w:t>
      </w:r>
      <w:r w:rsidR="00B02013">
        <w:t xml:space="preserve"> and stored</w:t>
      </w:r>
      <w:r>
        <w:t>.</w:t>
      </w:r>
      <w:r w:rsidR="00B02013">
        <w:t xml:space="preserve"> </w:t>
      </w:r>
    </w:p>
    <w:p w14:paraId="680EA968" w14:textId="731FE5B3" w:rsidR="00343CA2" w:rsidRDefault="00343CA2" w:rsidP="009B74C8">
      <w:pPr>
        <w:pStyle w:val="ListParagraph"/>
        <w:numPr>
          <w:ilvl w:val="0"/>
          <w:numId w:val="17"/>
        </w:numPr>
        <w:ind w:left="567"/>
      </w:pPr>
      <w:r>
        <w:t xml:space="preserve">Update </w:t>
      </w:r>
      <w:r w:rsidR="00B02013">
        <w:t>relevant</w:t>
      </w:r>
      <w:r>
        <w:t xml:space="preserve"> BUP</w:t>
      </w:r>
      <w:r w:rsidR="00B02013">
        <w:t>s</w:t>
      </w:r>
      <w:r>
        <w:t xml:space="preserve"> to include the newly acquired item.</w:t>
      </w:r>
    </w:p>
    <w:p w14:paraId="5A643FBC" w14:textId="55F0D84E" w:rsidR="00B02013" w:rsidRDefault="00B02013" w:rsidP="009B74C8">
      <w:pPr>
        <w:pStyle w:val="ListParagraph"/>
        <w:numPr>
          <w:ilvl w:val="0"/>
          <w:numId w:val="17"/>
        </w:numPr>
        <w:ind w:left="567"/>
      </w:pPr>
      <w:r>
        <w:t xml:space="preserve">BI related transfer documentation will be kept in the BI Office area; refer to the </w:t>
      </w:r>
      <w:r w:rsidRPr="00B02013">
        <w:rPr>
          <w:u w:val="single"/>
        </w:rPr>
        <w:t>BI Documentation Policy</w:t>
      </w:r>
      <w:r>
        <w:t>.</w:t>
      </w:r>
    </w:p>
    <w:p w14:paraId="742938AA" w14:textId="703D047D" w:rsidR="00343CA2" w:rsidRDefault="00B02013" w:rsidP="00420FFF">
      <w:pPr>
        <w:pStyle w:val="Heading2"/>
      </w:pPr>
      <w:r>
        <w:t>Cross-contamination</w:t>
      </w:r>
    </w:p>
    <w:p w14:paraId="7C3052CD" w14:textId="77777777" w:rsidR="005E5E3B" w:rsidRPr="005E5E3B" w:rsidRDefault="00B02013" w:rsidP="009B74C8">
      <w:pPr>
        <w:pStyle w:val="ListParagraph"/>
        <w:numPr>
          <w:ilvl w:val="0"/>
          <w:numId w:val="18"/>
        </w:numPr>
        <w:ind w:left="567"/>
        <w:rPr>
          <w:bCs/>
        </w:rPr>
      </w:pPr>
      <w:bookmarkStart w:id="7" w:name="_Hlk17201079"/>
      <w:r>
        <w:t xml:space="preserve">Users must be cautious of cross-contamination, specifically with reference to portable and personal electronic equipment. </w:t>
      </w:r>
    </w:p>
    <w:p w14:paraId="79B871D1" w14:textId="293548A3" w:rsidR="000A0949" w:rsidRDefault="00B02013" w:rsidP="009B74C8">
      <w:pPr>
        <w:pStyle w:val="ListParagraph"/>
        <w:numPr>
          <w:ilvl w:val="0"/>
          <w:numId w:val="18"/>
        </w:numPr>
        <w:ind w:left="567"/>
        <w:rPr>
          <w:bCs/>
        </w:rPr>
      </w:pPr>
      <w:r>
        <w:t>The BI does</w:t>
      </w:r>
      <w:r w:rsidRPr="00B02013">
        <w:rPr>
          <w:bCs/>
        </w:rPr>
        <w:t xml:space="preserve"> not recommend the use of </w:t>
      </w:r>
      <w:r w:rsidRPr="00B02013">
        <w:rPr>
          <w:bCs/>
          <w:u w:val="single"/>
        </w:rPr>
        <w:t>personal</w:t>
      </w:r>
      <w:r w:rsidRPr="00B02013">
        <w:rPr>
          <w:bCs/>
        </w:rPr>
        <w:t xml:space="preserve"> electronic equipment in laboratory wet-work areas. </w:t>
      </w:r>
    </w:p>
    <w:p w14:paraId="0F02BB88" w14:textId="0DDEBD33" w:rsidR="000A0949" w:rsidRDefault="00B02013" w:rsidP="0069570A">
      <w:pPr>
        <w:pStyle w:val="ListParagraph"/>
        <w:numPr>
          <w:ilvl w:val="0"/>
          <w:numId w:val="18"/>
        </w:numPr>
        <w:ind w:left="567"/>
        <w:rPr>
          <w:bCs/>
        </w:rPr>
      </w:pPr>
      <w:r w:rsidRPr="000A0949">
        <w:rPr>
          <w:bCs/>
        </w:rPr>
        <w:t>The use</w:t>
      </w:r>
      <w:r w:rsidR="000A0949" w:rsidRPr="000A0949">
        <w:rPr>
          <w:bCs/>
        </w:rPr>
        <w:t xml:space="preserve"> </w:t>
      </w:r>
      <w:r w:rsidRPr="000A0949">
        <w:rPr>
          <w:bCs/>
        </w:rPr>
        <w:t xml:space="preserve">of </w:t>
      </w:r>
      <w:r w:rsidR="000A0949">
        <w:rPr>
          <w:bCs/>
        </w:rPr>
        <w:t xml:space="preserve">portable </w:t>
      </w:r>
      <w:r w:rsidRPr="000A0949">
        <w:rPr>
          <w:bCs/>
        </w:rPr>
        <w:t xml:space="preserve">electronic devices </w:t>
      </w:r>
      <w:r w:rsidR="000A0949" w:rsidRPr="000A0949">
        <w:rPr>
          <w:bCs/>
        </w:rPr>
        <w:t xml:space="preserve">for research purposes </w:t>
      </w:r>
      <w:r w:rsidRPr="000A0949">
        <w:rPr>
          <w:bCs/>
        </w:rPr>
        <w:t xml:space="preserve">in BI laboratories is at the discretion of the BI user and their supervisor. </w:t>
      </w:r>
    </w:p>
    <w:p w14:paraId="5275621D" w14:textId="29BE9263" w:rsidR="00C8648A" w:rsidRPr="000A0949" w:rsidRDefault="00C8648A" w:rsidP="0069570A">
      <w:pPr>
        <w:pStyle w:val="ListParagraph"/>
        <w:numPr>
          <w:ilvl w:val="0"/>
          <w:numId w:val="18"/>
        </w:numPr>
        <w:ind w:left="567"/>
        <w:rPr>
          <w:bCs/>
        </w:rPr>
      </w:pPr>
      <w:r>
        <w:t xml:space="preserve">Electronic equipment attached to research equipment should be done so in such a manner to minimize the risk of biological contamination, damage or accident to equipment or personnel. Items should be covered with impermeable material which prevents leakage of liquids into the chassis or inner components. </w:t>
      </w:r>
    </w:p>
    <w:p w14:paraId="1E5195E3" w14:textId="129A158C" w:rsidR="00C8648A" w:rsidRPr="00C8648A" w:rsidRDefault="00C8648A" w:rsidP="009B74C8">
      <w:pPr>
        <w:pStyle w:val="ListParagraph"/>
        <w:numPr>
          <w:ilvl w:val="0"/>
          <w:numId w:val="18"/>
        </w:numPr>
        <w:ind w:left="567"/>
        <w:rPr>
          <w:bCs/>
        </w:rPr>
      </w:pPr>
      <w:r>
        <w:t>Electronic equipment surfaces are to be cleanable with</w:t>
      </w:r>
      <w:r w:rsidR="005E5E3B">
        <w:t xml:space="preserve"> suitable disinfectants or decontamination agents (e.g. ethanol, bleach, isopropanol)</w:t>
      </w:r>
      <w:r>
        <w:t xml:space="preserve">. </w:t>
      </w:r>
    </w:p>
    <w:p w14:paraId="4D584819" w14:textId="3C396284" w:rsidR="00C8648A" w:rsidRPr="00B02013" w:rsidRDefault="00B02013" w:rsidP="009B74C8">
      <w:pPr>
        <w:pStyle w:val="ListParagraph"/>
        <w:numPr>
          <w:ilvl w:val="0"/>
          <w:numId w:val="18"/>
        </w:numPr>
        <w:ind w:left="567"/>
        <w:rPr>
          <w:bCs/>
        </w:rPr>
      </w:pPr>
      <w:r>
        <w:t>Use</w:t>
      </w:r>
      <w:r w:rsidR="005E5E3B">
        <w:t>r</w:t>
      </w:r>
      <w:r>
        <w:t xml:space="preserve">s must </w:t>
      </w:r>
      <w:r w:rsidR="00C8648A">
        <w:t>r</w:t>
      </w:r>
      <w:r>
        <w:t>eport spills and biological contamination of portable electronic equipment to their supervisor and BI staff.</w:t>
      </w:r>
      <w:r w:rsidR="00C8648A">
        <w:t xml:space="preserve"> Contaminated items are to be reported to the Biosafety Office and stored in a biological safety cabinet or gasket-fitted leakproof container until disassembled and decontaminated.</w:t>
      </w:r>
      <w:r w:rsidR="00C8648A" w:rsidRPr="00C8648A">
        <w:rPr>
          <w:bCs/>
        </w:rPr>
        <w:t xml:space="preserve"> </w:t>
      </w:r>
      <w:r w:rsidR="00C8648A">
        <w:rPr>
          <w:bCs/>
        </w:rPr>
        <w:t>D</w:t>
      </w:r>
      <w:r w:rsidR="00C8648A">
        <w:t>econtamination of personal electronic equipment should comply with manufacturer recommendations for equipment cleaning.</w:t>
      </w:r>
    </w:p>
    <w:bookmarkEnd w:id="7"/>
    <w:p w14:paraId="5DB7D77B" w14:textId="2C0C39F8" w:rsidR="00B02013" w:rsidRDefault="00C8648A" w:rsidP="00C8648A">
      <w:pPr>
        <w:pStyle w:val="Heading2"/>
      </w:pPr>
      <w:r>
        <w:t>Transportation and Movement of Biohazards</w:t>
      </w:r>
    </w:p>
    <w:p w14:paraId="39E46D06" w14:textId="77777777" w:rsidR="001F505A" w:rsidRPr="001F505A" w:rsidRDefault="00C8648A" w:rsidP="009B74C8">
      <w:pPr>
        <w:pStyle w:val="ListParagraph"/>
        <w:numPr>
          <w:ilvl w:val="0"/>
          <w:numId w:val="22"/>
        </w:numPr>
        <w:ind w:left="567"/>
      </w:pPr>
      <w:r w:rsidRPr="00880CD8">
        <w:rPr>
          <w:rFonts w:cs="Arial"/>
        </w:rPr>
        <w:t>Users should use the appropriate engineered system(s) when handling or transporting substances, to avoid exposure.</w:t>
      </w:r>
      <w:r>
        <w:rPr>
          <w:rFonts w:cs="Arial"/>
        </w:rPr>
        <w:t xml:space="preserve"> </w:t>
      </w:r>
    </w:p>
    <w:p w14:paraId="6439B3AD" w14:textId="564AE5CD" w:rsidR="001F505A" w:rsidRPr="001F505A" w:rsidRDefault="001F505A" w:rsidP="009B74C8">
      <w:pPr>
        <w:pStyle w:val="ListParagraph"/>
        <w:numPr>
          <w:ilvl w:val="0"/>
          <w:numId w:val="22"/>
        </w:numPr>
        <w:ind w:left="567"/>
      </w:pPr>
      <w:r>
        <w:rPr>
          <w:bCs/>
        </w:rPr>
        <w:t xml:space="preserve">BI users must </w:t>
      </w:r>
      <w:r w:rsidR="00C8648A">
        <w:rPr>
          <w:bCs/>
        </w:rPr>
        <w:t>comply with Transportation of Dangerous (TDG) guidelines</w:t>
      </w:r>
      <w:r>
        <w:rPr>
          <w:bCs/>
        </w:rPr>
        <w:t xml:space="preserve"> when transporting biohazardous materials and should have the appropriate McMaster training.</w:t>
      </w:r>
    </w:p>
    <w:p w14:paraId="22ABFFCB" w14:textId="0B375161" w:rsidR="001F505A" w:rsidRPr="007A13D5" w:rsidRDefault="001F505A" w:rsidP="009B74C8">
      <w:pPr>
        <w:pStyle w:val="ListParagraph"/>
        <w:numPr>
          <w:ilvl w:val="0"/>
          <w:numId w:val="22"/>
        </w:numPr>
        <w:ind w:left="567"/>
      </w:pPr>
      <w:r>
        <w:t xml:space="preserve">TDG double-containment guidelines state that during transport, a biological agent should be contained in a labeled and </w:t>
      </w:r>
      <w:bookmarkStart w:id="8" w:name="_Hlk15393132"/>
      <w:r>
        <w:t xml:space="preserve">sealed (leak-proof and secured with parafilm) </w:t>
      </w:r>
      <w:bookmarkEnd w:id="8"/>
      <w:r>
        <w:t xml:space="preserve">primary container that is surface decontaminated and placed inside a biohazard-labeled, sealed, and shatter-proof secondary container, with enough absorbance </w:t>
      </w:r>
      <w:r>
        <w:lastRenderedPageBreak/>
        <w:t xml:space="preserve">material to contain the primary containers contents. </w:t>
      </w:r>
      <w:bookmarkStart w:id="9" w:name="_Hlk15393217"/>
      <w:r>
        <w:t>The outside for the secondary container must be surface decontaminated as well.</w:t>
      </w:r>
      <w:bookmarkEnd w:id="9"/>
    </w:p>
    <w:p w14:paraId="7A8EC611" w14:textId="2A1F2706" w:rsidR="00E758EC" w:rsidRPr="00E758EC" w:rsidRDefault="00C0580A" w:rsidP="00E758EC">
      <w:pPr>
        <w:pStyle w:val="Heading2"/>
        <w:rPr>
          <w:rFonts w:cstheme="minorBidi"/>
          <w:szCs w:val="22"/>
        </w:rPr>
      </w:pPr>
      <w:r>
        <w:t>C</w:t>
      </w:r>
      <w:r w:rsidR="00E758EC">
        <w:t>L-2 materials</w:t>
      </w:r>
    </w:p>
    <w:p w14:paraId="7C4622F0" w14:textId="219115BC" w:rsidR="00E758EC" w:rsidRPr="00CA5CDC" w:rsidRDefault="00C0580A" w:rsidP="009B74C8">
      <w:pPr>
        <w:pStyle w:val="ListParagraph"/>
        <w:widowControl w:val="0"/>
        <w:numPr>
          <w:ilvl w:val="0"/>
          <w:numId w:val="27"/>
        </w:numPr>
        <w:autoSpaceDE w:val="0"/>
        <w:autoSpaceDN w:val="0"/>
        <w:adjustRightInd w:val="0"/>
        <w:ind w:left="567"/>
      </w:pPr>
      <w:r>
        <w:rPr>
          <w:rFonts w:cs="Arial"/>
          <w:szCs w:val="24"/>
        </w:rPr>
        <w:t>C</w:t>
      </w:r>
      <w:r w:rsidR="00E758EC">
        <w:rPr>
          <w:rFonts w:cs="Arial"/>
          <w:szCs w:val="24"/>
        </w:rPr>
        <w:t>L-2</w:t>
      </w:r>
      <w:r w:rsidR="00E758EC" w:rsidRPr="003C537C">
        <w:rPr>
          <w:rFonts w:cs="Arial"/>
          <w:szCs w:val="24"/>
        </w:rPr>
        <w:t xml:space="preserve"> </w:t>
      </w:r>
      <w:r w:rsidR="00E758EC">
        <w:rPr>
          <w:rFonts w:cs="Arial"/>
          <w:szCs w:val="24"/>
        </w:rPr>
        <w:t>materials</w:t>
      </w:r>
      <w:r w:rsidR="00E758EC" w:rsidRPr="003C537C">
        <w:rPr>
          <w:rFonts w:cs="Arial"/>
          <w:szCs w:val="24"/>
        </w:rPr>
        <w:t xml:space="preserve"> require</w:t>
      </w:r>
      <w:r w:rsidR="00E758EC">
        <w:rPr>
          <w:rFonts w:cs="Arial"/>
          <w:szCs w:val="24"/>
        </w:rPr>
        <w:t xml:space="preserve"> containment standards as per the Canadian Biosafety Standards (CBS) and must be handled in</w:t>
      </w:r>
      <w:r w:rsidR="00E758EC" w:rsidRPr="003C537C">
        <w:rPr>
          <w:rFonts w:cs="Arial"/>
          <w:szCs w:val="24"/>
        </w:rPr>
        <w:t xml:space="preserve"> a biological safety cabinet (BSC). </w:t>
      </w:r>
    </w:p>
    <w:p w14:paraId="01D2D73C" w14:textId="7F4161F8" w:rsidR="00631D90" w:rsidRPr="00631D90" w:rsidRDefault="00E16A0B" w:rsidP="00420FFF">
      <w:pPr>
        <w:pStyle w:val="Heading2"/>
      </w:pPr>
      <w:r>
        <w:t>Risk Assessments</w:t>
      </w:r>
    </w:p>
    <w:p w14:paraId="5711A461" w14:textId="3BF46DC3" w:rsidR="00E758EC" w:rsidRDefault="00E758EC" w:rsidP="009B74C8">
      <w:pPr>
        <w:pStyle w:val="ListParagraph"/>
        <w:widowControl w:val="0"/>
        <w:numPr>
          <w:ilvl w:val="0"/>
          <w:numId w:val="10"/>
        </w:numPr>
        <w:autoSpaceDE w:val="0"/>
        <w:autoSpaceDN w:val="0"/>
        <w:adjustRightInd w:val="0"/>
        <w:ind w:left="567"/>
        <w:rPr>
          <w:rFonts w:cs="Arial"/>
          <w:szCs w:val="24"/>
        </w:rPr>
      </w:pPr>
      <w:r>
        <w:rPr>
          <w:rFonts w:cs="Arial"/>
          <w:szCs w:val="24"/>
        </w:rPr>
        <w:t xml:space="preserve">Risk assessments are required when there is a new hazard in the laboratory, when there is a change to an existing hazard, when a new procedure or piece of equipment is employed, when an incident or injury has occurred with existing hazards, procedures or equipment or when it is deemed necessary by supervisors. </w:t>
      </w:r>
    </w:p>
    <w:p w14:paraId="597B7EBB" w14:textId="2B239E6B" w:rsidR="00E758EC" w:rsidRDefault="00E758EC" w:rsidP="009B74C8">
      <w:pPr>
        <w:pStyle w:val="ListParagraph"/>
        <w:widowControl w:val="0"/>
        <w:numPr>
          <w:ilvl w:val="0"/>
          <w:numId w:val="10"/>
        </w:numPr>
        <w:autoSpaceDE w:val="0"/>
        <w:autoSpaceDN w:val="0"/>
        <w:adjustRightInd w:val="0"/>
        <w:ind w:left="567"/>
        <w:rPr>
          <w:rFonts w:cs="Arial"/>
          <w:szCs w:val="24"/>
        </w:rPr>
      </w:pPr>
      <w:r>
        <w:rPr>
          <w:rFonts w:cs="Arial"/>
          <w:szCs w:val="24"/>
        </w:rPr>
        <w:t>Risk assessments should be reviewed and approved by supervisors</w:t>
      </w:r>
      <w:r w:rsidR="00521614">
        <w:rPr>
          <w:rFonts w:cs="Arial"/>
          <w:szCs w:val="24"/>
        </w:rPr>
        <w:t>. Amendments must be communicated to workers.</w:t>
      </w:r>
    </w:p>
    <w:p w14:paraId="5572094E" w14:textId="1E48B4BE" w:rsidR="00420FFF" w:rsidRDefault="00C720DF" w:rsidP="009B74C8">
      <w:pPr>
        <w:pStyle w:val="ListParagraph"/>
        <w:numPr>
          <w:ilvl w:val="0"/>
          <w:numId w:val="10"/>
        </w:numPr>
        <w:ind w:left="567"/>
        <w:rPr>
          <w:rFonts w:cs="Arial"/>
        </w:rPr>
      </w:pPr>
      <w:bookmarkStart w:id="10" w:name="_Toc370997378"/>
      <w:r>
        <w:rPr>
          <w:rFonts w:cs="Arial"/>
        </w:rPr>
        <w:t xml:space="preserve">BI specific </w:t>
      </w:r>
      <w:r w:rsidR="00420FFF" w:rsidRPr="00A26898">
        <w:rPr>
          <w:rFonts w:cs="Arial"/>
        </w:rPr>
        <w:t>risk assessments will be kept within the BI</w:t>
      </w:r>
      <w:r>
        <w:rPr>
          <w:rFonts w:cs="Arial"/>
        </w:rPr>
        <w:t xml:space="preserve"> office area. If applicable, risk assessments will be made available to BI users electronically via the BI website</w:t>
      </w:r>
      <w:r w:rsidR="00420FFF" w:rsidRPr="00A26898">
        <w:rPr>
          <w:rFonts w:cs="Arial"/>
        </w:rPr>
        <w:t>.</w:t>
      </w:r>
      <w:r w:rsidR="00420FFF">
        <w:rPr>
          <w:rFonts w:cs="Arial"/>
        </w:rPr>
        <w:t xml:space="preserve"> Refer to the </w:t>
      </w:r>
      <w:r w:rsidR="00420FFF" w:rsidRPr="00413545">
        <w:rPr>
          <w:rFonts w:cs="Arial"/>
          <w:u w:val="single"/>
        </w:rPr>
        <w:t>BI Documentation Policy</w:t>
      </w:r>
      <w:r w:rsidR="00420FFF">
        <w:rPr>
          <w:rFonts w:cs="Arial"/>
        </w:rPr>
        <w:t>.</w:t>
      </w:r>
    </w:p>
    <w:p w14:paraId="5616B483" w14:textId="77777777" w:rsidR="00750586" w:rsidRDefault="00750586" w:rsidP="00750586">
      <w:pPr>
        <w:pStyle w:val="ListParagraph"/>
        <w:widowControl w:val="0"/>
        <w:numPr>
          <w:ilvl w:val="0"/>
          <w:numId w:val="10"/>
        </w:numPr>
        <w:autoSpaceDE w:val="0"/>
        <w:autoSpaceDN w:val="0"/>
        <w:adjustRightInd w:val="0"/>
        <w:ind w:left="567"/>
        <w:rPr>
          <w:rFonts w:cs="Arial"/>
          <w:szCs w:val="24"/>
        </w:rPr>
      </w:pPr>
      <w:bookmarkStart w:id="11" w:name="_Toc339871411"/>
      <w:bookmarkStart w:id="12" w:name="_Toc370997488"/>
      <w:bookmarkEnd w:id="1"/>
      <w:bookmarkEnd w:id="10"/>
      <w:r>
        <w:rPr>
          <w:rFonts w:cs="Arial"/>
          <w:szCs w:val="24"/>
        </w:rPr>
        <w:t xml:space="preserve">Refer to the </w:t>
      </w:r>
      <w:r w:rsidRPr="00750586">
        <w:rPr>
          <w:rFonts w:cs="Arial"/>
          <w:szCs w:val="24"/>
          <w:u w:val="single"/>
        </w:rPr>
        <w:t>BI Risk Assessment Policy</w:t>
      </w:r>
      <w:r>
        <w:rPr>
          <w:rFonts w:cs="Arial"/>
          <w:szCs w:val="24"/>
        </w:rPr>
        <w:t>.</w:t>
      </w:r>
    </w:p>
    <w:p w14:paraId="12DBEA3A" w14:textId="16630D90" w:rsidR="00B25EE6" w:rsidRDefault="005E5E3B" w:rsidP="005E5E3B">
      <w:pPr>
        <w:pStyle w:val="Heading3"/>
        <w:ind w:left="990" w:hanging="990"/>
      </w:pPr>
      <w:r>
        <w:t xml:space="preserve">BI User </w:t>
      </w:r>
      <w:r w:rsidR="00B25EE6">
        <w:t xml:space="preserve">Biohazardous </w:t>
      </w:r>
      <w:r w:rsidR="00756B0C">
        <w:t>Work</w:t>
      </w:r>
      <w:r>
        <w:t>, Risk Assessments and</w:t>
      </w:r>
      <w:r w:rsidR="00B25EE6">
        <w:t xml:space="preserve"> SOP</w:t>
      </w:r>
      <w:r w:rsidR="00756B0C">
        <w:t>s</w:t>
      </w:r>
    </w:p>
    <w:p w14:paraId="19B57456" w14:textId="5F2D33DF" w:rsidR="00B25EE6" w:rsidRDefault="00C720DF" w:rsidP="009B74C8">
      <w:pPr>
        <w:pStyle w:val="ListParagraph"/>
        <w:numPr>
          <w:ilvl w:val="0"/>
          <w:numId w:val="6"/>
        </w:numPr>
        <w:ind w:left="567"/>
      </w:pPr>
      <w:r>
        <w:t>BI user risk assessments and p</w:t>
      </w:r>
      <w:r w:rsidR="00B25EE6">
        <w:t xml:space="preserve">rocedural SOPs pertaining to </w:t>
      </w:r>
      <w:r w:rsidR="002B57CA">
        <w:t xml:space="preserve">specific </w:t>
      </w:r>
      <w:r w:rsidR="00B25EE6">
        <w:t>biohazardous work</w:t>
      </w:r>
      <w:r w:rsidR="002B57CA">
        <w:t xml:space="preserve"> </w:t>
      </w:r>
      <w:r w:rsidR="00B25EE6">
        <w:t xml:space="preserve">are </w:t>
      </w:r>
      <w:r w:rsidR="002B57CA">
        <w:t>the responsibility of the BI user’s supervisor</w:t>
      </w:r>
      <w:r w:rsidR="00E45F22">
        <w:t xml:space="preserve"> and not kept on file in the BI</w:t>
      </w:r>
      <w:r w:rsidR="002B57CA">
        <w:t>.</w:t>
      </w:r>
    </w:p>
    <w:p w14:paraId="613CC2BC" w14:textId="77777777" w:rsidR="007F341B" w:rsidRPr="00756B0C" w:rsidRDefault="00756B0C" w:rsidP="009B74C8">
      <w:pPr>
        <w:pStyle w:val="ListParagraph"/>
        <w:widowControl w:val="0"/>
        <w:numPr>
          <w:ilvl w:val="0"/>
          <w:numId w:val="6"/>
        </w:numPr>
        <w:autoSpaceDE w:val="0"/>
        <w:autoSpaceDN w:val="0"/>
        <w:adjustRightInd w:val="0"/>
        <w:ind w:left="567"/>
      </w:pPr>
      <w:r w:rsidRPr="00756B0C">
        <w:rPr>
          <w:rFonts w:cs="Arial"/>
          <w:szCs w:val="24"/>
        </w:rPr>
        <w:t>BI</w:t>
      </w:r>
      <w:r w:rsidR="007F341B" w:rsidRPr="00756B0C">
        <w:rPr>
          <w:rFonts w:cs="Arial"/>
          <w:szCs w:val="24"/>
        </w:rPr>
        <w:t xml:space="preserve"> SOPs to capture </w:t>
      </w:r>
      <w:r w:rsidRPr="00756B0C">
        <w:rPr>
          <w:rFonts w:cs="Arial"/>
          <w:szCs w:val="24"/>
        </w:rPr>
        <w:t>biological work will be maintained by BI staff and users trained as required.</w:t>
      </w:r>
    </w:p>
    <w:p w14:paraId="50C15DFE" w14:textId="3EBD6C5F" w:rsidR="00343CA2" w:rsidRDefault="00343CA2" w:rsidP="00E27466">
      <w:pPr>
        <w:pStyle w:val="Heading2"/>
      </w:pPr>
      <w:r>
        <w:t>Biohazardous Work – Medical Surveillance</w:t>
      </w:r>
    </w:p>
    <w:p w14:paraId="39D9E0E3" w14:textId="77777777" w:rsidR="00D7347A" w:rsidRDefault="00D7347A" w:rsidP="009B74C8">
      <w:pPr>
        <w:pStyle w:val="ListParagraph"/>
        <w:numPr>
          <w:ilvl w:val="0"/>
          <w:numId w:val="29"/>
        </w:numPr>
        <w:ind w:left="567"/>
      </w:pPr>
      <w:r>
        <w:t xml:space="preserve">As per, </w:t>
      </w:r>
      <w:r w:rsidRPr="009E39F0">
        <w:rPr>
          <w:u w:val="single"/>
        </w:rPr>
        <w:t>RMM</w:t>
      </w:r>
      <w:r>
        <w:rPr>
          <w:u w:val="single"/>
        </w:rPr>
        <w:t xml:space="preserve"> </w:t>
      </w:r>
      <w:r w:rsidRPr="009E39F0">
        <w:rPr>
          <w:u w:val="single"/>
        </w:rPr>
        <w:t>#603: Medical Surveillance Program</w:t>
      </w:r>
      <w:r>
        <w:t xml:space="preserve">, </w:t>
      </w:r>
      <w:bookmarkStart w:id="13" w:name="_Hlk17201284"/>
      <w:r>
        <w:t xml:space="preserve">supervisors must identify potential exposure risks to infectious biohazardous materials, communicate identified risks to workers, ensure inventories are up-to-date, SDS are read by workers, have post-emergency procedures in place following exposure, and ensure workers are executing self-monitoring for symptoms which may be associated with occupational exposure to infectious biohazardous materials. </w:t>
      </w:r>
    </w:p>
    <w:bookmarkEnd w:id="13"/>
    <w:p w14:paraId="76953D07" w14:textId="77777777" w:rsidR="00D7347A" w:rsidRDefault="00D7347A" w:rsidP="009B74C8">
      <w:pPr>
        <w:pStyle w:val="ListParagraph"/>
        <w:numPr>
          <w:ilvl w:val="0"/>
          <w:numId w:val="29"/>
        </w:numPr>
        <w:ind w:left="567"/>
      </w:pPr>
      <w:r>
        <w:t xml:space="preserve">Workers should consider recommendations given by the Canadian Immunization Guide and seek assistance from their own medical service provider as needed. </w:t>
      </w:r>
    </w:p>
    <w:p w14:paraId="56532A35" w14:textId="50F19DCD" w:rsidR="00D7347A" w:rsidRPr="00242983" w:rsidRDefault="00D7347A" w:rsidP="009B74C8">
      <w:pPr>
        <w:pStyle w:val="ListParagraph"/>
        <w:widowControl w:val="0"/>
        <w:numPr>
          <w:ilvl w:val="0"/>
          <w:numId w:val="29"/>
        </w:numPr>
        <w:autoSpaceDE w:val="0"/>
        <w:autoSpaceDN w:val="0"/>
        <w:adjustRightInd w:val="0"/>
        <w:ind w:left="567"/>
        <w:rPr>
          <w:rFonts w:cs="Arial"/>
          <w:szCs w:val="24"/>
        </w:rPr>
      </w:pPr>
      <w:bookmarkStart w:id="14" w:name="_Hlk17201213"/>
      <w:r>
        <w:t>Workers should monitor their health status on an ongoing basis, affirm self-monitoring on an annual basis, follow post exposure procedures and identify intoxication prior to serious injury or disease</w:t>
      </w:r>
      <w:bookmarkEnd w:id="14"/>
      <w:r>
        <w:t>.</w:t>
      </w:r>
      <w:bookmarkEnd w:id="11"/>
      <w:bookmarkEnd w:id="12"/>
    </w:p>
    <w:p w14:paraId="558B435C" w14:textId="77777777" w:rsidR="00F552D9" w:rsidRDefault="00F552D9" w:rsidP="00F552D9"/>
    <w:sectPr w:rsidR="00F552D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E211C" w14:textId="77777777" w:rsidR="00E864AE" w:rsidRDefault="00E864AE" w:rsidP="00696DF8">
      <w:r>
        <w:separator/>
      </w:r>
    </w:p>
  </w:endnote>
  <w:endnote w:type="continuationSeparator" w:id="0">
    <w:p w14:paraId="06C0AC18" w14:textId="77777777" w:rsidR="00E864AE" w:rsidRDefault="00E864AE" w:rsidP="0069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407464"/>
      <w:docPartObj>
        <w:docPartGallery w:val="Page Numbers (Bottom of Page)"/>
        <w:docPartUnique/>
      </w:docPartObj>
    </w:sdtPr>
    <w:sdtEndPr/>
    <w:sdtContent>
      <w:sdt>
        <w:sdtPr>
          <w:id w:val="-1351476364"/>
          <w:docPartObj>
            <w:docPartGallery w:val="Page Numbers (Top of Page)"/>
            <w:docPartUnique/>
          </w:docPartObj>
        </w:sdtPr>
        <w:sdtEndPr/>
        <w:sdtContent>
          <w:p w14:paraId="3F85ECE0" w14:textId="5D4D413C" w:rsidR="00696DF8" w:rsidRDefault="00696DF8" w:rsidP="00FA42DC">
            <w:pPr>
              <w:pStyle w:val="Footer"/>
            </w:pPr>
            <w:r>
              <w:rPr>
                <w:noProof/>
                <w:lang w:eastAsia="en-CA"/>
              </w:rPr>
              <mc:AlternateContent>
                <mc:Choice Requires="wps">
                  <w:drawing>
                    <wp:anchor distT="0" distB="0" distL="114300" distR="114300" simplePos="0" relativeHeight="251658240" behindDoc="0" locked="0" layoutInCell="1" allowOverlap="1" wp14:anchorId="18DE4D24" wp14:editId="23421A9F">
                      <wp:simplePos x="0" y="0"/>
                      <wp:positionH relativeFrom="column">
                        <wp:posOffset>0</wp:posOffset>
                      </wp:positionH>
                      <wp:positionV relativeFrom="paragraph">
                        <wp:posOffset>-96529</wp:posOffset>
                      </wp:positionV>
                      <wp:extent cx="5936615" cy="45719"/>
                      <wp:effectExtent l="0" t="0" r="6985" b="0"/>
                      <wp:wrapNone/>
                      <wp:docPr id="5" name="Rectangle 5"/>
                      <wp:cNvGraphicFramePr/>
                      <a:graphic xmlns:a="http://schemas.openxmlformats.org/drawingml/2006/main">
                        <a:graphicData uri="http://schemas.microsoft.com/office/word/2010/wordprocessingShape">
                          <wps:wsp>
                            <wps:cNvSpPr/>
                            <wps:spPr>
                              <a:xfrm>
                                <a:off x="0" y="0"/>
                                <a:ext cx="5936615"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A1407" id="Rectangle 5" o:spid="_x0000_s1026" style="position:absolute;margin-left:0;margin-top:-7.6pt;width:467.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" fillcolor="#943634 [2405]" stroked="f" strokeweight="2pt"/>
                  </w:pict>
                </mc:Fallback>
              </mc:AlternateContent>
            </w:r>
            <w:r w:rsidR="00CE4215">
              <w:t>Policy</w:t>
            </w:r>
            <w:r w:rsidR="00930A1F">
              <w:t>ID</w:t>
            </w:r>
            <w:r w:rsidR="00956E2C">
              <w:t>:</w:t>
            </w:r>
            <w:r w:rsidR="00930A1F">
              <w:t xml:space="preserve"> B</w:t>
            </w:r>
            <w:r w:rsidR="00AF3434">
              <w:t>ioWor</w:t>
            </w:r>
            <w:r w:rsidR="00930A1F">
              <w:t>k</w:t>
            </w:r>
            <w:r w:rsidR="00FA42DC">
              <w:tab/>
            </w:r>
            <w:r w:rsidR="00D27E77">
              <w:t>Jan. 20</w:t>
            </w:r>
            <w:r w:rsidR="005E5E3B">
              <w:t>21</w:t>
            </w:r>
            <w:r w:rsidR="00FA42DC">
              <w:tab/>
            </w:r>
            <w:r>
              <w:t xml:space="preserve">Page </w:t>
            </w:r>
            <w:r>
              <w:rPr>
                <w:b/>
                <w:bCs/>
                <w:szCs w:val="24"/>
              </w:rPr>
              <w:fldChar w:fldCharType="begin"/>
            </w:r>
            <w:r>
              <w:rPr>
                <w:b/>
                <w:bCs/>
              </w:rPr>
              <w:instrText xml:space="preserve"> PAGE </w:instrText>
            </w:r>
            <w:r>
              <w:rPr>
                <w:b/>
                <w:bCs/>
                <w:szCs w:val="24"/>
              </w:rPr>
              <w:fldChar w:fldCharType="separate"/>
            </w:r>
            <w:r w:rsidR="00D63998">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63998">
              <w:rPr>
                <w:b/>
                <w:bCs/>
                <w:noProof/>
              </w:rPr>
              <w:t>2</w:t>
            </w:r>
            <w:r>
              <w:rPr>
                <w:b/>
                <w:bCs/>
                <w:szCs w:val="24"/>
              </w:rPr>
              <w:fldChar w:fldCharType="end"/>
            </w:r>
          </w:p>
        </w:sdtContent>
      </w:sdt>
    </w:sdtContent>
  </w:sdt>
  <w:p w14:paraId="0FDD1190" w14:textId="77777777" w:rsidR="00696DF8" w:rsidRDefault="0069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1AF68" w14:textId="77777777" w:rsidR="00E864AE" w:rsidRDefault="00E864AE" w:rsidP="00696DF8">
      <w:r>
        <w:separator/>
      </w:r>
    </w:p>
  </w:footnote>
  <w:footnote w:type="continuationSeparator" w:id="0">
    <w:p w14:paraId="3E5E1F2D" w14:textId="77777777" w:rsidR="00E864AE" w:rsidRDefault="00E864AE" w:rsidP="0069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D71F" w14:textId="77777777" w:rsidR="00696DF8" w:rsidRDefault="00696DF8">
    <w:pPr>
      <w:pStyle w:val="Header"/>
    </w:pPr>
    <w:r>
      <w:rPr>
        <w:noProof/>
        <w:lang w:eastAsia="en-CA"/>
      </w:rPr>
      <w:drawing>
        <wp:inline distT="0" distB="0" distL="0" distR="0" wp14:anchorId="19506D14" wp14:editId="3D7551F6">
          <wp:extent cx="2875042" cy="829339"/>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79506" cy="830627"/>
                  </a:xfrm>
                  <a:prstGeom prst="rect">
                    <a:avLst/>
                  </a:prstGeom>
                </pic:spPr>
              </pic:pic>
            </a:graphicData>
          </a:graphic>
        </wp:inline>
      </w:drawing>
    </w:r>
    <w:r>
      <w:tab/>
    </w:r>
    <w:r>
      <w:tab/>
    </w:r>
    <w:r>
      <w:rPr>
        <w:noProof/>
        <w:lang w:eastAsia="en-CA"/>
      </w:rPr>
      <w:drawing>
        <wp:inline distT="0" distB="0" distL="0" distR="0" wp14:anchorId="58D61EF6" wp14:editId="296E9FFB">
          <wp:extent cx="1500129" cy="829339"/>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full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963" cy="828695"/>
                  </a:xfrm>
                  <a:prstGeom prst="rect">
                    <a:avLst/>
                  </a:prstGeom>
                </pic:spPr>
              </pic:pic>
            </a:graphicData>
          </a:graphic>
        </wp:inline>
      </w:drawing>
    </w:r>
  </w:p>
  <w:p w14:paraId="3F9293BB" w14:textId="77777777" w:rsidR="00696DF8" w:rsidRDefault="00696DF8">
    <w:pPr>
      <w:pStyle w:val="Header"/>
    </w:pPr>
    <w:r>
      <w:rPr>
        <w:noProof/>
        <w:lang w:eastAsia="en-CA"/>
      </w:rPr>
      <mc:AlternateContent>
        <mc:Choice Requires="wps">
          <w:drawing>
            <wp:anchor distT="0" distB="0" distL="114300" distR="114300" simplePos="0" relativeHeight="251657216" behindDoc="0" locked="0" layoutInCell="1" allowOverlap="1" wp14:anchorId="13FC2725" wp14:editId="4B766A71">
              <wp:simplePos x="0" y="0"/>
              <wp:positionH relativeFrom="column">
                <wp:posOffset>1</wp:posOffset>
              </wp:positionH>
              <wp:positionV relativeFrom="paragraph">
                <wp:posOffset>158883</wp:posOffset>
              </wp:positionV>
              <wp:extent cx="5936776" cy="45719"/>
              <wp:effectExtent l="0" t="0" r="6985" b="0"/>
              <wp:wrapNone/>
              <wp:docPr id="1" name="Rectangle 1"/>
              <wp:cNvGraphicFramePr/>
              <a:graphic xmlns:a="http://schemas.openxmlformats.org/drawingml/2006/main">
                <a:graphicData uri="http://schemas.microsoft.com/office/word/2010/wordprocessingShape">
                  <wps:wsp>
                    <wps:cNvSpPr/>
                    <wps:spPr>
                      <a:xfrm>
                        <a:off x="0" y="0"/>
                        <a:ext cx="5936776"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1CC2B" id="Rectangle 1" o:spid="_x0000_s1026" style="position:absolute;margin-left:0;margin-top:12.5pt;width:467.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" fillcolor="#943634 [2405]" stroked="f" strokeweight="2pt"/>
          </w:pict>
        </mc:Fallback>
      </mc:AlternateContent>
    </w:r>
  </w:p>
  <w:p w14:paraId="753A541B" w14:textId="77777777" w:rsidR="00696DF8" w:rsidRDefault="00696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4AD"/>
    <w:multiLevelType w:val="multilevel"/>
    <w:tmpl w:val="047C7DD6"/>
    <w:styleLink w:val="StyleHeadings"/>
    <w:lvl w:ilvl="0">
      <w:start w:val="1"/>
      <w:numFmt w:val="decimal"/>
      <w:lvlText w:val="%1."/>
      <w:lvlJc w:val="left"/>
      <w:pPr>
        <w:ind w:left="284" w:hanging="284"/>
      </w:pPr>
      <w:rPr>
        <w:rFonts w:ascii="Arial" w:hAnsi="Arial" w:cs="Times New Roman" w:hint="default"/>
        <w:b/>
        <w:i w:val="0"/>
        <w:color w:val="auto"/>
        <w:sz w:val="28"/>
      </w:rPr>
    </w:lvl>
    <w:lvl w:ilvl="1">
      <w:start w:val="1"/>
      <w:numFmt w:val="decimal"/>
      <w:lvlText w:val="%1.%2."/>
      <w:lvlJc w:val="left"/>
      <w:pPr>
        <w:ind w:left="284" w:hanging="284"/>
      </w:pPr>
      <w:rPr>
        <w:rFonts w:ascii="Arial" w:hAnsi="Arial" w:cs="Times New Roman" w:hint="default"/>
        <w:b/>
        <w:i w:val="0"/>
        <w:color w:val="auto"/>
        <w:sz w:val="28"/>
      </w:rPr>
    </w:lvl>
    <w:lvl w:ilvl="2">
      <w:start w:val="1"/>
      <w:numFmt w:val="decimal"/>
      <w:lvlText w:val="%1.%2.%3."/>
      <w:lvlJc w:val="left"/>
      <w:pPr>
        <w:ind w:left="284" w:hanging="284"/>
      </w:pPr>
      <w:rPr>
        <w:rFonts w:ascii="Arial" w:hAnsi="Arial" w:cs="Times New Roman" w:hint="default"/>
        <w:b/>
        <w:i w:val="0"/>
        <w:sz w:val="24"/>
      </w:rPr>
    </w:lvl>
    <w:lvl w:ilvl="3">
      <w:start w:val="1"/>
      <w:numFmt w:val="decimal"/>
      <w:lvlText w:val="%1.%2.%3.%4."/>
      <w:lvlJc w:val="left"/>
      <w:pPr>
        <w:ind w:left="284" w:hanging="284"/>
      </w:pPr>
      <w:rPr>
        <w:rFonts w:ascii="Arial" w:hAnsi="Arial" w:cs="Times New Roman" w:hint="default"/>
        <w:b/>
        <w:i w:val="0"/>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1" w15:restartNumberingAfterBreak="0">
    <w:nsid w:val="0CC05422"/>
    <w:multiLevelType w:val="hybridMultilevel"/>
    <w:tmpl w:val="9C16697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7E3367"/>
    <w:multiLevelType w:val="hybridMultilevel"/>
    <w:tmpl w:val="711A8E18"/>
    <w:lvl w:ilvl="0" w:tplc="10090019">
      <w:start w:val="1"/>
      <w:numFmt w:val="lowerLetter"/>
      <w:lvlText w:val="%1."/>
      <w:lvlJc w:val="left"/>
      <w:pPr>
        <w:ind w:left="720" w:hanging="360"/>
      </w:pPr>
      <w:rPr>
        <w:rFonts w:hint="default"/>
      </w:rPr>
    </w:lvl>
    <w:lvl w:ilvl="1" w:tplc="555AF7A2">
      <w:start w:val="1"/>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0A817AC"/>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3470E53"/>
    <w:multiLevelType w:val="hybridMultilevel"/>
    <w:tmpl w:val="EB1C53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276F49"/>
    <w:multiLevelType w:val="hybridMultilevel"/>
    <w:tmpl w:val="1AFEC2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3632AD"/>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7639B6"/>
    <w:multiLevelType w:val="hybridMultilevel"/>
    <w:tmpl w:val="51D4A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D017A2"/>
    <w:multiLevelType w:val="hybridMultilevel"/>
    <w:tmpl w:val="8ABCBF3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6620CFB"/>
    <w:multiLevelType w:val="hybridMultilevel"/>
    <w:tmpl w:val="466E5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BC0CC0"/>
    <w:multiLevelType w:val="hybridMultilevel"/>
    <w:tmpl w:val="9C16697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EF39FA"/>
    <w:multiLevelType w:val="hybridMultilevel"/>
    <w:tmpl w:val="FBD015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3B600135"/>
    <w:multiLevelType w:val="hybridMultilevel"/>
    <w:tmpl w:val="177AE6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CD04725"/>
    <w:multiLevelType w:val="hybridMultilevel"/>
    <w:tmpl w:val="AC8ACE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22835DA"/>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60F6D27"/>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9CA1B87"/>
    <w:multiLevelType w:val="hybridMultilevel"/>
    <w:tmpl w:val="37A07A78"/>
    <w:lvl w:ilvl="0" w:tplc="66DEDC96">
      <w:start w:val="1"/>
      <w:numFmt w:val="lowerLetter"/>
      <w:lvlText w:val="%1."/>
      <w:lvlJc w:val="left"/>
      <w:pPr>
        <w:ind w:left="786" w:hanging="360"/>
      </w:pPr>
      <w:rPr>
        <w:rFonts w:ascii="Arial" w:hAnsi="Arial"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220E74"/>
    <w:multiLevelType w:val="hybridMultilevel"/>
    <w:tmpl w:val="A5D0CC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E350334"/>
    <w:multiLevelType w:val="hybridMultilevel"/>
    <w:tmpl w:val="03B6AD6C"/>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EE61E91"/>
    <w:multiLevelType w:val="hybridMultilevel"/>
    <w:tmpl w:val="89DC1D9E"/>
    <w:lvl w:ilvl="0" w:tplc="BBDEBC4A">
      <w:start w:val="1"/>
      <w:numFmt w:val="lowerLetter"/>
      <w:lvlText w:val="%1."/>
      <w:lvlJc w:val="left"/>
      <w:pPr>
        <w:ind w:left="720" w:hanging="360"/>
      </w:pPr>
      <w:rPr>
        <w:rFonts w:ascii="Arial" w:hAnsi="Arial"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F5649C0"/>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6D56EA"/>
    <w:multiLevelType w:val="hybridMultilevel"/>
    <w:tmpl w:val="3886F3A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A2675E"/>
    <w:multiLevelType w:val="hybridMultilevel"/>
    <w:tmpl w:val="BB9E153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6053C8D"/>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E53961"/>
    <w:multiLevelType w:val="hybridMultilevel"/>
    <w:tmpl w:val="8ABCBF3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5D03461"/>
    <w:multiLevelType w:val="multilevel"/>
    <w:tmpl w:val="F1608426"/>
    <w:lvl w:ilvl="0">
      <w:start w:val="1"/>
      <w:numFmt w:val="decimal"/>
      <w:pStyle w:val="Heading1"/>
      <w:lvlText w:val="%1."/>
      <w:lvlJc w:val="left"/>
      <w:pPr>
        <w:ind w:left="284" w:hanging="284"/>
      </w:pPr>
      <w:rPr>
        <w:rFonts w:ascii="Arial" w:hAnsi="Arial" w:cs="Times New Roman" w:hint="default"/>
        <w:b/>
        <w:i w:val="0"/>
        <w:color w:val="auto"/>
        <w:sz w:val="28"/>
      </w:rPr>
    </w:lvl>
    <w:lvl w:ilvl="1">
      <w:start w:val="1"/>
      <w:numFmt w:val="decimal"/>
      <w:pStyle w:val="Heading2"/>
      <w:lvlText w:val="%1.%2."/>
      <w:lvlJc w:val="left"/>
      <w:pPr>
        <w:ind w:left="284" w:hanging="284"/>
      </w:pPr>
      <w:rPr>
        <w:rFonts w:ascii="Arial" w:hAnsi="Arial" w:cs="Times New Roman" w:hint="default"/>
        <w:b/>
        <w:i w:val="0"/>
        <w:color w:val="auto"/>
        <w:sz w:val="28"/>
      </w:rPr>
    </w:lvl>
    <w:lvl w:ilvl="2">
      <w:start w:val="1"/>
      <w:numFmt w:val="decimal"/>
      <w:pStyle w:val="Heading3"/>
      <w:lvlText w:val="%1.%2.%3."/>
      <w:lvlJc w:val="left"/>
      <w:pPr>
        <w:ind w:left="284" w:hanging="284"/>
      </w:pPr>
      <w:rPr>
        <w:rFonts w:ascii="Arial" w:hAnsi="Arial" w:cs="Times New Roman" w:hint="default"/>
        <w:b/>
        <w:i w:val="0"/>
        <w:sz w:val="24"/>
      </w:rPr>
    </w:lvl>
    <w:lvl w:ilvl="3">
      <w:start w:val="1"/>
      <w:numFmt w:val="decimal"/>
      <w:pStyle w:val="Heading4"/>
      <w:lvlText w:val="%1.%2.%3.%4."/>
      <w:lvlJc w:val="left"/>
      <w:pPr>
        <w:ind w:left="851" w:hanging="851"/>
      </w:pPr>
      <w:rPr>
        <w:rFonts w:ascii="Arial" w:hAnsi="Arial" w:cs="Times New Roman" w:hint="default"/>
        <w:b/>
        <w:i/>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26" w15:restartNumberingAfterBreak="0">
    <w:nsid w:val="6C816088"/>
    <w:multiLevelType w:val="hybridMultilevel"/>
    <w:tmpl w:val="A14457AA"/>
    <w:lvl w:ilvl="0" w:tplc="8B604460">
      <w:start w:val="1"/>
      <w:numFmt w:val="lowerLetter"/>
      <w:lvlText w:val="%1."/>
      <w:lvlJc w:val="left"/>
      <w:pPr>
        <w:ind w:left="720" w:hanging="360"/>
      </w:pPr>
      <w:rPr>
        <w:rFonts w:ascii="Arial" w:hAnsi="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2A3259"/>
    <w:multiLevelType w:val="hybridMultilevel"/>
    <w:tmpl w:val="5EDECD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4075AA"/>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06777C9"/>
    <w:multiLevelType w:val="hybridMultilevel"/>
    <w:tmpl w:val="70DAE8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729D3592"/>
    <w:multiLevelType w:val="hybridMultilevel"/>
    <w:tmpl w:val="451495C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CD713EA"/>
    <w:multiLevelType w:val="hybridMultilevel"/>
    <w:tmpl w:val="8ABCBF3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5"/>
  </w:num>
  <w:num w:numId="2">
    <w:abstractNumId w:val="0"/>
  </w:num>
  <w:num w:numId="3">
    <w:abstractNumId w:val="20"/>
  </w:num>
  <w:num w:numId="4">
    <w:abstractNumId w:val="18"/>
  </w:num>
  <w:num w:numId="5">
    <w:abstractNumId w:val="2"/>
  </w:num>
  <w:num w:numId="6">
    <w:abstractNumId w:val="24"/>
  </w:num>
  <w:num w:numId="7">
    <w:abstractNumId w:val="15"/>
  </w:num>
  <w:num w:numId="8">
    <w:abstractNumId w:val="21"/>
  </w:num>
  <w:num w:numId="9">
    <w:abstractNumId w:val="3"/>
  </w:num>
  <w:num w:numId="10">
    <w:abstractNumId w:val="1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26"/>
  </w:num>
  <w:num w:numId="16">
    <w:abstractNumId w:val="11"/>
  </w:num>
  <w:num w:numId="17">
    <w:abstractNumId w:val="5"/>
  </w:num>
  <w:num w:numId="18">
    <w:abstractNumId w:val="19"/>
  </w:num>
  <w:num w:numId="19">
    <w:abstractNumId w:val="1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
  </w:num>
  <w:num w:numId="23">
    <w:abstractNumId w:val="6"/>
  </w:num>
  <w:num w:numId="24">
    <w:abstractNumId w:val="27"/>
  </w:num>
  <w:num w:numId="25">
    <w:abstractNumId w:val="28"/>
  </w:num>
  <w:num w:numId="26">
    <w:abstractNumId w:val="23"/>
  </w:num>
  <w:num w:numId="27">
    <w:abstractNumId w:val="10"/>
  </w:num>
  <w:num w:numId="28">
    <w:abstractNumId w:val="4"/>
  </w:num>
  <w:num w:numId="29">
    <w:abstractNumId w:val="14"/>
  </w:num>
  <w:num w:numId="30">
    <w:abstractNumId w:val="22"/>
  </w:num>
  <w:num w:numId="31">
    <w:abstractNumId w:val="31"/>
  </w:num>
  <w:num w:numId="32">
    <w:abstractNumId w:val="8"/>
  </w:num>
  <w:num w:numId="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6DF8"/>
    <w:rsid w:val="00037767"/>
    <w:rsid w:val="00053B33"/>
    <w:rsid w:val="0005477D"/>
    <w:rsid w:val="00063F4E"/>
    <w:rsid w:val="000651D0"/>
    <w:rsid w:val="00094BC9"/>
    <w:rsid w:val="00095E27"/>
    <w:rsid w:val="000A0949"/>
    <w:rsid w:val="000C0292"/>
    <w:rsid w:val="00126071"/>
    <w:rsid w:val="0015717F"/>
    <w:rsid w:val="00173C8B"/>
    <w:rsid w:val="001910E1"/>
    <w:rsid w:val="001C1188"/>
    <w:rsid w:val="001E2083"/>
    <w:rsid w:val="001F505A"/>
    <w:rsid w:val="0022182B"/>
    <w:rsid w:val="00242983"/>
    <w:rsid w:val="00243F45"/>
    <w:rsid w:val="00246EC0"/>
    <w:rsid w:val="0026349D"/>
    <w:rsid w:val="0027275A"/>
    <w:rsid w:val="00287525"/>
    <w:rsid w:val="002B57CA"/>
    <w:rsid w:val="002F1B7F"/>
    <w:rsid w:val="003043CC"/>
    <w:rsid w:val="00305F75"/>
    <w:rsid w:val="003138C8"/>
    <w:rsid w:val="003376C6"/>
    <w:rsid w:val="00343CA2"/>
    <w:rsid w:val="003A0032"/>
    <w:rsid w:val="003B4307"/>
    <w:rsid w:val="003C537C"/>
    <w:rsid w:val="003D77CB"/>
    <w:rsid w:val="004022A1"/>
    <w:rsid w:val="00413545"/>
    <w:rsid w:val="00420FFF"/>
    <w:rsid w:val="00422F7F"/>
    <w:rsid w:val="004A0F5B"/>
    <w:rsid w:val="004C2B44"/>
    <w:rsid w:val="005117DC"/>
    <w:rsid w:val="00521614"/>
    <w:rsid w:val="005258B6"/>
    <w:rsid w:val="00540896"/>
    <w:rsid w:val="0055007F"/>
    <w:rsid w:val="0055011D"/>
    <w:rsid w:val="0056533A"/>
    <w:rsid w:val="00574340"/>
    <w:rsid w:val="00585A78"/>
    <w:rsid w:val="005E5E3B"/>
    <w:rsid w:val="00602C26"/>
    <w:rsid w:val="00614D36"/>
    <w:rsid w:val="00631D90"/>
    <w:rsid w:val="00657DD0"/>
    <w:rsid w:val="00670AD7"/>
    <w:rsid w:val="00694647"/>
    <w:rsid w:val="00696DF8"/>
    <w:rsid w:val="006B0127"/>
    <w:rsid w:val="006C7023"/>
    <w:rsid w:val="006D3728"/>
    <w:rsid w:val="006D4B6B"/>
    <w:rsid w:val="006E5452"/>
    <w:rsid w:val="006F00C2"/>
    <w:rsid w:val="0071251C"/>
    <w:rsid w:val="00714EB0"/>
    <w:rsid w:val="00733D0B"/>
    <w:rsid w:val="0073725D"/>
    <w:rsid w:val="00740814"/>
    <w:rsid w:val="0074385D"/>
    <w:rsid w:val="00750586"/>
    <w:rsid w:val="00753574"/>
    <w:rsid w:val="00756B0C"/>
    <w:rsid w:val="00760BE1"/>
    <w:rsid w:val="00763590"/>
    <w:rsid w:val="007666A3"/>
    <w:rsid w:val="007926FA"/>
    <w:rsid w:val="00796576"/>
    <w:rsid w:val="007C3343"/>
    <w:rsid w:val="007C44DE"/>
    <w:rsid w:val="007E1173"/>
    <w:rsid w:val="007F341B"/>
    <w:rsid w:val="008203C5"/>
    <w:rsid w:val="00867AB8"/>
    <w:rsid w:val="008730E0"/>
    <w:rsid w:val="008C7E22"/>
    <w:rsid w:val="008E47D4"/>
    <w:rsid w:val="008F4B87"/>
    <w:rsid w:val="008F78DA"/>
    <w:rsid w:val="009235DE"/>
    <w:rsid w:val="00930A1F"/>
    <w:rsid w:val="00951B36"/>
    <w:rsid w:val="00951C8E"/>
    <w:rsid w:val="00956E2C"/>
    <w:rsid w:val="00962748"/>
    <w:rsid w:val="00982F2B"/>
    <w:rsid w:val="009B74C8"/>
    <w:rsid w:val="009C615C"/>
    <w:rsid w:val="009F681F"/>
    <w:rsid w:val="00A22BDA"/>
    <w:rsid w:val="00A22F72"/>
    <w:rsid w:val="00A446DB"/>
    <w:rsid w:val="00A72930"/>
    <w:rsid w:val="00A91A67"/>
    <w:rsid w:val="00AB4213"/>
    <w:rsid w:val="00AC6A2C"/>
    <w:rsid w:val="00AE187B"/>
    <w:rsid w:val="00AF3434"/>
    <w:rsid w:val="00B02013"/>
    <w:rsid w:val="00B22664"/>
    <w:rsid w:val="00B25EE6"/>
    <w:rsid w:val="00B32FA4"/>
    <w:rsid w:val="00B55A34"/>
    <w:rsid w:val="00B5624F"/>
    <w:rsid w:val="00BC65C7"/>
    <w:rsid w:val="00C0580A"/>
    <w:rsid w:val="00C26C62"/>
    <w:rsid w:val="00C2718A"/>
    <w:rsid w:val="00C3582E"/>
    <w:rsid w:val="00C415D5"/>
    <w:rsid w:val="00C71054"/>
    <w:rsid w:val="00C720DF"/>
    <w:rsid w:val="00C8648A"/>
    <w:rsid w:val="00CA2EBD"/>
    <w:rsid w:val="00CA45F9"/>
    <w:rsid w:val="00CA5CDC"/>
    <w:rsid w:val="00CC3E55"/>
    <w:rsid w:val="00CC5555"/>
    <w:rsid w:val="00CE4215"/>
    <w:rsid w:val="00CE4D71"/>
    <w:rsid w:val="00CF7A01"/>
    <w:rsid w:val="00D05305"/>
    <w:rsid w:val="00D06214"/>
    <w:rsid w:val="00D06D5C"/>
    <w:rsid w:val="00D27E77"/>
    <w:rsid w:val="00D36A86"/>
    <w:rsid w:val="00D46CDF"/>
    <w:rsid w:val="00D63998"/>
    <w:rsid w:val="00D63D47"/>
    <w:rsid w:val="00D673CF"/>
    <w:rsid w:val="00D7347A"/>
    <w:rsid w:val="00DC6F1E"/>
    <w:rsid w:val="00DF54F3"/>
    <w:rsid w:val="00E16A0B"/>
    <w:rsid w:val="00E211FB"/>
    <w:rsid w:val="00E27466"/>
    <w:rsid w:val="00E45F22"/>
    <w:rsid w:val="00E61462"/>
    <w:rsid w:val="00E758EC"/>
    <w:rsid w:val="00E864AE"/>
    <w:rsid w:val="00E92013"/>
    <w:rsid w:val="00EF4E4A"/>
    <w:rsid w:val="00EF556E"/>
    <w:rsid w:val="00F2102E"/>
    <w:rsid w:val="00F40DB2"/>
    <w:rsid w:val="00F42DB4"/>
    <w:rsid w:val="00F552D9"/>
    <w:rsid w:val="00F5717F"/>
    <w:rsid w:val="00F85E19"/>
    <w:rsid w:val="00F85F31"/>
    <w:rsid w:val="00FA42DC"/>
    <w:rsid w:val="00FB13AB"/>
    <w:rsid w:val="00FB4CB6"/>
    <w:rsid w:val="00FF46A0"/>
    <w:rsid w:val="00FF5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43823"/>
  <w15:docId w15:val="{97C8CBED-A325-4957-B976-80984426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75"/>
    <w:pPr>
      <w:spacing w:after="0" w:line="240" w:lineRule="auto"/>
    </w:pPr>
    <w:rPr>
      <w:rFonts w:ascii="Arial" w:hAnsi="Arial"/>
      <w:sz w:val="24"/>
    </w:rPr>
  </w:style>
  <w:style w:type="paragraph" w:styleId="Heading1">
    <w:name w:val="heading 1"/>
    <w:next w:val="Normal"/>
    <w:link w:val="Heading1Char"/>
    <w:uiPriority w:val="9"/>
    <w:qFormat/>
    <w:rsid w:val="00305F75"/>
    <w:pPr>
      <w:keepNext/>
      <w:keepLines/>
      <w:numPr>
        <w:numId w:val="1"/>
      </w:numPr>
      <w:spacing w:before="240" w:after="240" w:line="240" w:lineRule="auto"/>
      <w:outlineLvl w:val="0"/>
    </w:pPr>
    <w:rPr>
      <w:rFonts w:ascii="Arial" w:eastAsiaTheme="majorEastAsia" w:hAnsi="Arial" w:cstheme="majorBidi"/>
      <w:b/>
      <w:bCs/>
      <w:sz w:val="28"/>
      <w:szCs w:val="28"/>
    </w:rPr>
  </w:style>
  <w:style w:type="paragraph" w:styleId="Heading2">
    <w:name w:val="heading 2"/>
    <w:next w:val="Normal"/>
    <w:link w:val="Heading2Char"/>
    <w:uiPriority w:val="9"/>
    <w:unhideWhenUsed/>
    <w:qFormat/>
    <w:rsid w:val="00305F75"/>
    <w:pPr>
      <w:numPr>
        <w:ilvl w:val="1"/>
        <w:numId w:val="1"/>
      </w:numPr>
      <w:spacing w:before="120" w:after="120" w:line="240" w:lineRule="auto"/>
      <w:outlineLvl w:val="1"/>
    </w:pPr>
    <w:rPr>
      <w:rFonts w:ascii="Arial" w:eastAsiaTheme="majorEastAsia" w:hAnsi="Arial" w:cstheme="majorBidi"/>
      <w:b/>
      <w:sz w:val="28"/>
      <w:szCs w:val="26"/>
    </w:rPr>
  </w:style>
  <w:style w:type="paragraph" w:styleId="Heading3">
    <w:name w:val="heading 3"/>
    <w:next w:val="Normal"/>
    <w:link w:val="Heading3Char"/>
    <w:uiPriority w:val="9"/>
    <w:unhideWhenUsed/>
    <w:qFormat/>
    <w:rsid w:val="00305F75"/>
    <w:pPr>
      <w:numPr>
        <w:ilvl w:val="2"/>
        <w:numId w:val="1"/>
      </w:numPr>
      <w:spacing w:before="120" w:after="60" w:line="240" w:lineRule="auto"/>
      <w:outlineLvl w:val="2"/>
    </w:pPr>
    <w:rPr>
      <w:rFonts w:ascii="Arial" w:eastAsiaTheme="majorEastAsia" w:hAnsi="Arial" w:cstheme="majorBidi"/>
      <w:b/>
      <w:sz w:val="24"/>
      <w:szCs w:val="28"/>
    </w:rPr>
  </w:style>
  <w:style w:type="paragraph" w:styleId="Heading4">
    <w:name w:val="heading 4"/>
    <w:next w:val="Normal"/>
    <w:link w:val="Heading4Char"/>
    <w:uiPriority w:val="9"/>
    <w:unhideWhenUsed/>
    <w:qFormat/>
    <w:rsid w:val="00305F75"/>
    <w:pPr>
      <w:numPr>
        <w:ilvl w:val="3"/>
        <w:numId w:val="1"/>
      </w:numPr>
      <w:spacing w:before="120" w:after="60" w:line="240" w:lineRule="auto"/>
      <w:outlineLvl w:val="3"/>
    </w:pPr>
    <w:rPr>
      <w:rFonts w:ascii="Times New Roman" w:eastAsiaTheme="majorEastAsia" w:hAnsi="Times New Roman" w:cstheme="majorBidi"/>
      <w:b/>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F8"/>
    <w:pPr>
      <w:tabs>
        <w:tab w:val="center" w:pos="4680"/>
        <w:tab w:val="right" w:pos="9360"/>
      </w:tabs>
    </w:pPr>
  </w:style>
  <w:style w:type="character" w:customStyle="1" w:styleId="HeaderChar">
    <w:name w:val="Header Char"/>
    <w:basedOn w:val="DefaultParagraphFont"/>
    <w:link w:val="Header"/>
    <w:uiPriority w:val="99"/>
    <w:rsid w:val="00696DF8"/>
  </w:style>
  <w:style w:type="paragraph" w:styleId="Footer">
    <w:name w:val="footer"/>
    <w:basedOn w:val="Normal"/>
    <w:link w:val="FooterChar"/>
    <w:uiPriority w:val="99"/>
    <w:unhideWhenUsed/>
    <w:rsid w:val="00696DF8"/>
    <w:pPr>
      <w:tabs>
        <w:tab w:val="center" w:pos="4680"/>
        <w:tab w:val="right" w:pos="9360"/>
      </w:tabs>
    </w:pPr>
  </w:style>
  <w:style w:type="character" w:customStyle="1" w:styleId="FooterChar">
    <w:name w:val="Footer Char"/>
    <w:basedOn w:val="DefaultParagraphFont"/>
    <w:link w:val="Footer"/>
    <w:uiPriority w:val="99"/>
    <w:rsid w:val="00696DF8"/>
  </w:style>
  <w:style w:type="paragraph" w:styleId="BalloonText">
    <w:name w:val="Balloon Text"/>
    <w:basedOn w:val="Normal"/>
    <w:link w:val="BalloonTextChar"/>
    <w:uiPriority w:val="99"/>
    <w:semiHidden/>
    <w:unhideWhenUsed/>
    <w:rsid w:val="00696DF8"/>
    <w:rPr>
      <w:rFonts w:ascii="Tahoma" w:hAnsi="Tahoma" w:cs="Tahoma"/>
      <w:sz w:val="16"/>
      <w:szCs w:val="16"/>
    </w:rPr>
  </w:style>
  <w:style w:type="character" w:customStyle="1" w:styleId="BalloonTextChar">
    <w:name w:val="Balloon Text Char"/>
    <w:basedOn w:val="DefaultParagraphFont"/>
    <w:link w:val="BalloonText"/>
    <w:uiPriority w:val="99"/>
    <w:semiHidden/>
    <w:rsid w:val="00696DF8"/>
    <w:rPr>
      <w:rFonts w:ascii="Tahoma" w:hAnsi="Tahoma" w:cs="Tahoma"/>
      <w:sz w:val="16"/>
      <w:szCs w:val="16"/>
    </w:rPr>
  </w:style>
  <w:style w:type="character" w:customStyle="1" w:styleId="Heading1Char">
    <w:name w:val="Heading 1 Char"/>
    <w:basedOn w:val="DefaultParagraphFont"/>
    <w:link w:val="Heading1"/>
    <w:uiPriority w:val="9"/>
    <w:rsid w:val="00305F7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05F7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05F75"/>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305F75"/>
    <w:rPr>
      <w:rFonts w:ascii="Times New Roman" w:eastAsiaTheme="majorEastAsia" w:hAnsi="Times New Roman" w:cstheme="majorBidi"/>
      <w:b/>
      <w:i/>
      <w:iCs/>
      <w:sz w:val="24"/>
      <w:szCs w:val="28"/>
    </w:rPr>
  </w:style>
  <w:style w:type="table" w:styleId="TableGrid">
    <w:name w:val="Table Grid"/>
    <w:basedOn w:val="TableNormal"/>
    <w:uiPriority w:val="59"/>
    <w:rsid w:val="00305F75"/>
    <w:pPr>
      <w:spacing w:after="0" w:line="240" w:lineRule="auto"/>
    </w:pPr>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75"/>
    <w:pPr>
      <w:ind w:left="720"/>
      <w:contextualSpacing/>
    </w:pPr>
  </w:style>
  <w:style w:type="numbering" w:customStyle="1" w:styleId="StyleHeadings">
    <w:name w:val="StyleHeadings"/>
    <w:uiPriority w:val="99"/>
    <w:rsid w:val="003376C6"/>
    <w:pPr>
      <w:numPr>
        <w:numId w:val="2"/>
      </w:numPr>
    </w:pPr>
  </w:style>
  <w:style w:type="character" w:customStyle="1" w:styleId="apple-converted-space">
    <w:name w:val="apple-converted-space"/>
    <w:basedOn w:val="DefaultParagraphFont"/>
    <w:rsid w:val="008E47D4"/>
  </w:style>
  <w:style w:type="character" w:styleId="Hyperlink">
    <w:name w:val="Hyperlink"/>
    <w:basedOn w:val="DefaultParagraphFont"/>
    <w:uiPriority w:val="99"/>
    <w:semiHidden/>
    <w:unhideWhenUsed/>
    <w:rsid w:val="00343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64036">
      <w:bodyDiv w:val="1"/>
      <w:marLeft w:val="0"/>
      <w:marRight w:val="0"/>
      <w:marTop w:val="0"/>
      <w:marBottom w:val="0"/>
      <w:divBdr>
        <w:top w:val="none" w:sz="0" w:space="0" w:color="auto"/>
        <w:left w:val="none" w:sz="0" w:space="0" w:color="auto"/>
        <w:bottom w:val="none" w:sz="0" w:space="0" w:color="auto"/>
        <w:right w:val="none" w:sz="0" w:space="0" w:color="auto"/>
      </w:divBdr>
    </w:div>
    <w:div w:id="1258832411">
      <w:bodyDiv w:val="1"/>
      <w:marLeft w:val="0"/>
      <w:marRight w:val="0"/>
      <w:marTop w:val="0"/>
      <w:marBottom w:val="0"/>
      <w:divBdr>
        <w:top w:val="none" w:sz="0" w:space="0" w:color="auto"/>
        <w:left w:val="none" w:sz="0" w:space="0" w:color="auto"/>
        <w:bottom w:val="none" w:sz="0" w:space="0" w:color="auto"/>
        <w:right w:val="none" w:sz="0" w:space="0" w:color="auto"/>
      </w:divBdr>
    </w:div>
    <w:div w:id="1632858296">
      <w:bodyDiv w:val="1"/>
      <w:marLeft w:val="0"/>
      <w:marRight w:val="0"/>
      <w:marTop w:val="0"/>
      <w:marBottom w:val="0"/>
      <w:divBdr>
        <w:top w:val="none" w:sz="0" w:space="0" w:color="auto"/>
        <w:left w:val="none" w:sz="0" w:space="0" w:color="auto"/>
        <w:bottom w:val="none" w:sz="0" w:space="0" w:color="auto"/>
        <w:right w:val="none" w:sz="0" w:space="0" w:color="auto"/>
      </w:divBdr>
    </w:div>
    <w:div w:id="1888370193">
      <w:bodyDiv w:val="1"/>
      <w:marLeft w:val="0"/>
      <w:marRight w:val="0"/>
      <w:marTop w:val="0"/>
      <w:marBottom w:val="0"/>
      <w:divBdr>
        <w:top w:val="none" w:sz="0" w:space="0" w:color="auto"/>
        <w:left w:val="none" w:sz="0" w:space="0" w:color="auto"/>
        <w:bottom w:val="none" w:sz="0" w:space="0" w:color="auto"/>
        <w:right w:val="none" w:sz="0" w:space="0" w:color="auto"/>
      </w:divBdr>
    </w:div>
    <w:div w:id="20789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6C4571FBD054D981C83215AA13DF6" ma:contentTypeVersion="12" ma:contentTypeDescription="Create a new document." ma:contentTypeScope="" ma:versionID="2d085a18b060c747c866445589695065">
  <xsd:schema xmlns:xsd="http://www.w3.org/2001/XMLSchema" xmlns:xs="http://www.w3.org/2001/XMLSchema" xmlns:p="http://schemas.microsoft.com/office/2006/metadata/properties" xmlns:ns2="5b05b671-57e0-4ba5-b2b5-ca188aee88a4" xmlns:ns3="9f2fff45-f587-46df-b09e-f69204cd9219" targetNamespace="http://schemas.microsoft.com/office/2006/metadata/properties" ma:root="true" ma:fieldsID="4bf64e1e81753d807f429a08bf4d9d0a" ns2:_="" ns3:_="">
    <xsd:import namespace="5b05b671-57e0-4ba5-b2b5-ca188aee88a4"/>
    <xsd:import namespace="9f2fff45-f587-46df-b09e-f69204cd9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5b671-57e0-4ba5-b2b5-ca188aee8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fff45-f587-46df-b09e-f69204cd9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318C5-D962-4BBC-B24F-D185E53C5752}"/>
</file>

<file path=customXml/itemProps2.xml><?xml version="1.0" encoding="utf-8"?>
<ds:datastoreItem xmlns:ds="http://schemas.openxmlformats.org/officeDocument/2006/customXml" ds:itemID="{B137273D-E2A2-454D-A9C1-841DE49FA357}"/>
</file>

<file path=customXml/itemProps3.xml><?xml version="1.0" encoding="utf-8"?>
<ds:datastoreItem xmlns:ds="http://schemas.openxmlformats.org/officeDocument/2006/customXml" ds:itemID="{4F2C7987-8D8D-44C3-8CDB-EB1628C54AF9}"/>
</file>

<file path=docProps/app.xml><?xml version="1.0" encoding="utf-8"?>
<Properties xmlns="http://schemas.openxmlformats.org/officeDocument/2006/extended-properties" xmlns:vt="http://schemas.openxmlformats.org/officeDocument/2006/docPropsVTypes">
  <Template>Normal</Template>
  <TotalTime>975</TotalTime>
  <Pages>4</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Princz, Marta</cp:lastModifiedBy>
  <cp:revision>53</cp:revision>
  <cp:lastPrinted>2017-02-14T16:06:00Z</cp:lastPrinted>
  <dcterms:created xsi:type="dcterms:W3CDTF">2013-12-12T16:30:00Z</dcterms:created>
  <dcterms:modified xsi:type="dcterms:W3CDTF">2021-03-17T19:50:00Z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0x010100AC16C4571FBD054D981C83215AA13DF6</vt:lpwstr>
  </property>
</Properties>
</file>