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FD05E" w14:textId="77777777" w:rsidR="003D77CB" w:rsidRPr="00A26898" w:rsidRDefault="00F67A85" w:rsidP="003D77CB">
      <w:pPr>
        <w:pStyle w:val="Heading1"/>
        <w:keepLines w:val="0"/>
        <w:rPr>
          <w:rFonts w:cs="Arial"/>
        </w:rPr>
      </w:pPr>
      <w:bookmarkStart w:id="0" w:name="_Toc370997370"/>
      <w:r>
        <w:rPr>
          <w:rFonts w:cs="Arial"/>
        </w:rPr>
        <w:t xml:space="preserve"> </w:t>
      </w:r>
      <w:r w:rsidR="003D77CB" w:rsidRPr="00A26898">
        <w:rPr>
          <w:rFonts w:cs="Arial"/>
        </w:rPr>
        <w:t>BI Biosecurity Policy</w:t>
      </w:r>
      <w:bookmarkEnd w:id="0"/>
    </w:p>
    <w:p w14:paraId="62695DD2" w14:textId="77777777" w:rsidR="007525E2" w:rsidRDefault="00B03D84" w:rsidP="00507829">
      <w:pPr>
        <w:pStyle w:val="ListParagraph"/>
        <w:numPr>
          <w:ilvl w:val="0"/>
          <w:numId w:val="25"/>
        </w:numPr>
        <w:ind w:left="567"/>
      </w:pPr>
      <w:r w:rsidRPr="007525E2">
        <w:t>The BI Biosecurity Policy ensure</w:t>
      </w:r>
      <w:r>
        <w:t>s</w:t>
      </w:r>
      <w:r w:rsidRPr="007525E2">
        <w:t xml:space="preserve"> there </w:t>
      </w:r>
      <w:r w:rsidR="008A4D10">
        <w:t>is</w:t>
      </w:r>
      <w:r w:rsidRPr="003B4E9C">
        <w:t xml:space="preserve"> physical </w:t>
      </w:r>
      <w:r w:rsidR="00C2606B">
        <w:t xml:space="preserve">and personal </w:t>
      </w:r>
      <w:r w:rsidRPr="003B4E9C">
        <w:t>protection</w:t>
      </w:r>
      <w:r>
        <w:t>, regulated</w:t>
      </w:r>
      <w:r w:rsidRPr="003B4E9C">
        <w:t xml:space="preserve"> access</w:t>
      </w:r>
      <w:r>
        <w:t xml:space="preserve">, accurate inventories, accountability, </w:t>
      </w:r>
      <w:r w:rsidRPr="003B4E9C">
        <w:t>incident &amp; emergency response</w:t>
      </w:r>
      <w:r>
        <w:t xml:space="preserve"> and supporting</w:t>
      </w:r>
      <w:r w:rsidRPr="003B4E9C">
        <w:t xml:space="preserve"> documentation</w:t>
      </w:r>
      <w:r>
        <w:t xml:space="preserve"> to</w:t>
      </w:r>
      <w:r w:rsidR="007525E2">
        <w:t xml:space="preserve"> ensure </w:t>
      </w:r>
      <w:r w:rsidR="00473044">
        <w:t>adequate containment of biohazardous agents and materials in</w:t>
      </w:r>
      <w:r w:rsidR="007525E2">
        <w:t xml:space="preserve"> BI</w:t>
      </w:r>
      <w:r>
        <w:t xml:space="preserve"> laboratories</w:t>
      </w:r>
      <w:r w:rsidR="007525E2">
        <w:t>.</w:t>
      </w:r>
    </w:p>
    <w:p w14:paraId="7F41198D" w14:textId="2D0DA0A2" w:rsidR="007525E2" w:rsidRPr="0038731E" w:rsidRDefault="007E16D8" w:rsidP="00507829">
      <w:pPr>
        <w:pStyle w:val="ListParagraph"/>
        <w:numPr>
          <w:ilvl w:val="0"/>
          <w:numId w:val="25"/>
        </w:numPr>
        <w:ind w:left="567"/>
      </w:pPr>
      <w:r>
        <w:t>Bios</w:t>
      </w:r>
      <w:r w:rsidR="007525E2" w:rsidRPr="0038731E">
        <w:t>ecurity incidents including the lost, theft or mi</w:t>
      </w:r>
      <w:r w:rsidR="00C2606B">
        <w:t xml:space="preserve">suse of biohazard materials, </w:t>
      </w:r>
      <w:r w:rsidR="008A4D10">
        <w:t xml:space="preserve">breach of containment, </w:t>
      </w:r>
      <w:r w:rsidR="007525E2" w:rsidRPr="0038731E">
        <w:t xml:space="preserve">unauthorized removal </w:t>
      </w:r>
      <w:r w:rsidR="008A4D10">
        <w:t xml:space="preserve">or discovery </w:t>
      </w:r>
      <w:r w:rsidR="007525E2" w:rsidRPr="0038731E">
        <w:t>of pathogens,</w:t>
      </w:r>
      <w:r w:rsidR="008A4D10">
        <w:t xml:space="preserve"> or</w:t>
      </w:r>
      <w:r w:rsidR="007525E2" w:rsidRPr="0038731E">
        <w:t xml:space="preserve"> </w:t>
      </w:r>
      <w:r w:rsidR="00C2606B">
        <w:t xml:space="preserve">entry of </w:t>
      </w:r>
      <w:r w:rsidR="008A4D10" w:rsidRPr="00A26898">
        <w:rPr>
          <w:rFonts w:cs="Arial"/>
          <w:szCs w:val="24"/>
        </w:rPr>
        <w:t xml:space="preserve">unauthorized personnel </w:t>
      </w:r>
      <w:r w:rsidR="007525E2" w:rsidRPr="0038731E">
        <w:t xml:space="preserve">must be </w:t>
      </w:r>
      <w:r w:rsidR="00B46567">
        <w:t>documented (see below) and communicated</w:t>
      </w:r>
      <w:r w:rsidR="00EF12F1">
        <w:t xml:space="preserve"> </w:t>
      </w:r>
      <w:r w:rsidR="006F5E07">
        <w:t xml:space="preserve">to BI staff, BI Director and the McMaster Biosafety Office. </w:t>
      </w:r>
    </w:p>
    <w:p w14:paraId="7F7E355F" w14:textId="77777777" w:rsidR="006F5E07" w:rsidRDefault="006F5E07" w:rsidP="00507829">
      <w:pPr>
        <w:pStyle w:val="ListParagraph"/>
        <w:numPr>
          <w:ilvl w:val="0"/>
          <w:numId w:val="25"/>
        </w:numPr>
        <w:ind w:left="567"/>
      </w:pPr>
      <w:bookmarkStart w:id="1" w:name="_Toc370997371"/>
      <w:r>
        <w:t>This policy</w:t>
      </w:r>
      <w:r w:rsidRPr="00E075F3">
        <w:t xml:space="preserve"> </w:t>
      </w:r>
      <w:r>
        <w:t>will be</w:t>
      </w:r>
      <w:r w:rsidRPr="00E075F3">
        <w:t xml:space="preserve"> review</w:t>
      </w:r>
      <w:r>
        <w:t>ed</w:t>
      </w:r>
      <w:r w:rsidRPr="00E075F3">
        <w:t xml:space="preserve"> and update</w:t>
      </w:r>
      <w:r>
        <w:t>d</w:t>
      </w:r>
      <w:r w:rsidRPr="00E075F3">
        <w:t xml:space="preserve"> as new </w:t>
      </w:r>
      <w:r>
        <w:t>biosecurity issues</w:t>
      </w:r>
      <w:r w:rsidRPr="00E075F3">
        <w:t xml:space="preserve"> are identified</w:t>
      </w:r>
      <w:r>
        <w:t xml:space="preserve"> and at minimum annually</w:t>
      </w:r>
      <w:r w:rsidRPr="00E075F3">
        <w:t>.</w:t>
      </w:r>
    </w:p>
    <w:p w14:paraId="27D28728" w14:textId="77777777" w:rsidR="003D77CB" w:rsidRPr="00A26898" w:rsidRDefault="003D77CB" w:rsidP="00AA5B66">
      <w:pPr>
        <w:pStyle w:val="Heading2"/>
      </w:pPr>
      <w:r w:rsidRPr="00A26898">
        <w:t xml:space="preserve">Physical </w:t>
      </w:r>
      <w:r w:rsidR="00C2606B">
        <w:t xml:space="preserve">and Personal </w:t>
      </w:r>
      <w:r w:rsidRPr="00A26898">
        <w:t>Protection</w:t>
      </w:r>
      <w:bookmarkEnd w:id="1"/>
    </w:p>
    <w:p w14:paraId="5297D6EE" w14:textId="77777777" w:rsidR="003D77CB" w:rsidRPr="00A26898" w:rsidRDefault="00B52BA1" w:rsidP="0050782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BI </w:t>
      </w:r>
      <w:r w:rsidR="003D77CB" w:rsidRPr="00A26898">
        <w:rPr>
          <w:rFonts w:cs="Arial"/>
          <w:szCs w:val="24"/>
        </w:rPr>
        <w:t xml:space="preserve">laboratories </w:t>
      </w:r>
      <w:r w:rsidR="00B03D84">
        <w:rPr>
          <w:rFonts w:cs="Arial"/>
          <w:szCs w:val="24"/>
        </w:rPr>
        <w:t>are separate</w:t>
      </w:r>
      <w:r w:rsidR="003D77CB" w:rsidRPr="00A26898">
        <w:rPr>
          <w:rFonts w:cs="Arial"/>
          <w:szCs w:val="24"/>
        </w:rPr>
        <w:t xml:space="preserve"> from public</w:t>
      </w:r>
      <w:r w:rsidR="00B03D84">
        <w:rPr>
          <w:rFonts w:cs="Arial"/>
          <w:szCs w:val="24"/>
        </w:rPr>
        <w:t xml:space="preserve"> and office</w:t>
      </w:r>
      <w:r w:rsidR="003D77CB" w:rsidRPr="00A26898">
        <w:rPr>
          <w:rFonts w:cs="Arial"/>
          <w:szCs w:val="24"/>
        </w:rPr>
        <w:t xml:space="preserve"> areas by </w:t>
      </w:r>
      <w:r w:rsidR="00B03D84" w:rsidRPr="00A26898">
        <w:rPr>
          <w:rFonts w:cs="Arial"/>
          <w:szCs w:val="24"/>
        </w:rPr>
        <w:t xml:space="preserve">lockable </w:t>
      </w:r>
      <w:r w:rsidR="00B03D84">
        <w:rPr>
          <w:rFonts w:cs="Arial"/>
          <w:szCs w:val="24"/>
        </w:rPr>
        <w:t>doors</w:t>
      </w:r>
      <w:r w:rsidR="003D77CB" w:rsidRPr="00A26898">
        <w:rPr>
          <w:rFonts w:cs="Arial"/>
          <w:szCs w:val="24"/>
        </w:rPr>
        <w:t xml:space="preserve">. </w:t>
      </w:r>
    </w:p>
    <w:p w14:paraId="7A86EB2D" w14:textId="77777777" w:rsidR="004419BF" w:rsidRDefault="004419BF" w:rsidP="0050782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BI l</w:t>
      </w:r>
      <w:r w:rsidR="005444B6" w:rsidRPr="00A26898">
        <w:rPr>
          <w:rFonts w:cs="Arial"/>
          <w:szCs w:val="24"/>
        </w:rPr>
        <w:t>aboratories are equipped with hang</w:t>
      </w:r>
      <w:r w:rsidR="005444B6">
        <w:rPr>
          <w:rFonts w:cs="Arial"/>
          <w:szCs w:val="24"/>
        </w:rPr>
        <w:t>ers for</w:t>
      </w:r>
      <w:r w:rsidR="005444B6" w:rsidRPr="00A26898">
        <w:rPr>
          <w:rFonts w:cs="Arial"/>
          <w:szCs w:val="24"/>
        </w:rPr>
        <w:t xml:space="preserve"> laboratory </w:t>
      </w:r>
      <w:r w:rsidR="005444B6">
        <w:rPr>
          <w:rFonts w:cs="Arial"/>
          <w:szCs w:val="24"/>
        </w:rPr>
        <w:t>coats</w:t>
      </w:r>
      <w:r>
        <w:rPr>
          <w:rFonts w:cs="Arial"/>
          <w:szCs w:val="24"/>
        </w:rPr>
        <w:t>.</w:t>
      </w:r>
    </w:p>
    <w:p w14:paraId="62E3E225" w14:textId="77777777" w:rsidR="004419BF" w:rsidRDefault="004419BF" w:rsidP="00FC7A1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4419BF">
        <w:rPr>
          <w:rFonts w:cs="Arial"/>
          <w:szCs w:val="24"/>
        </w:rPr>
        <w:t>BI laboratories</w:t>
      </w:r>
      <w:r w:rsidR="005444B6" w:rsidRPr="004419BF">
        <w:rPr>
          <w:rFonts w:cs="Arial"/>
          <w:szCs w:val="24"/>
        </w:rPr>
        <w:t xml:space="preserve"> </w:t>
      </w:r>
      <w:r w:rsidRPr="004419BF">
        <w:rPr>
          <w:rFonts w:cs="Arial"/>
          <w:szCs w:val="24"/>
        </w:rPr>
        <w:t xml:space="preserve">have entry and exit doors </w:t>
      </w:r>
      <w:r w:rsidR="005444B6" w:rsidRPr="004419BF">
        <w:rPr>
          <w:rFonts w:cs="Arial"/>
          <w:szCs w:val="24"/>
        </w:rPr>
        <w:t>are large enough to accommodate the passage of relevant equipment.</w:t>
      </w:r>
      <w:r>
        <w:rPr>
          <w:rFonts w:cs="Arial"/>
          <w:szCs w:val="24"/>
        </w:rPr>
        <w:t xml:space="preserve"> </w:t>
      </w:r>
      <w:r w:rsidR="003D77CB" w:rsidRPr="004419BF">
        <w:rPr>
          <w:rFonts w:cs="Arial"/>
          <w:szCs w:val="24"/>
        </w:rPr>
        <w:t xml:space="preserve">Doors, frames, casework and bench tops are non-absorptive. </w:t>
      </w:r>
      <w:r w:rsidR="00BA0737" w:rsidRPr="004419BF">
        <w:rPr>
          <w:rFonts w:cs="Arial"/>
          <w:szCs w:val="24"/>
        </w:rPr>
        <w:t xml:space="preserve">Laboratories have sealed windows. </w:t>
      </w:r>
    </w:p>
    <w:p w14:paraId="4F2B8B9D" w14:textId="738C27E8" w:rsidR="003D77CB" w:rsidRPr="004419BF" w:rsidRDefault="00274E99" w:rsidP="00FC7A1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4419BF">
        <w:rPr>
          <w:rFonts w:cs="Arial"/>
          <w:szCs w:val="24"/>
        </w:rPr>
        <w:t>L</w:t>
      </w:r>
      <w:r w:rsidR="003D77CB" w:rsidRPr="004419BF">
        <w:rPr>
          <w:rFonts w:cs="Arial"/>
          <w:szCs w:val="24"/>
        </w:rPr>
        <w:t xml:space="preserve">aboratory surfaces are scratch, stain, moisture, chemical and heat resistant and can withstand chemical disinfection/fumigation. </w:t>
      </w:r>
    </w:p>
    <w:p w14:paraId="5497E2CC" w14:textId="3271B456" w:rsidR="00C2606B" w:rsidRDefault="00C2606B" w:rsidP="0050782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 xml:space="preserve">Air flow within </w:t>
      </w:r>
      <w:r w:rsidR="00DE3F08">
        <w:rPr>
          <w:rFonts w:cs="Arial"/>
          <w:szCs w:val="24"/>
        </w:rPr>
        <w:t xml:space="preserve">BI </w:t>
      </w:r>
      <w:r w:rsidRPr="00A26898">
        <w:rPr>
          <w:rFonts w:cs="Arial"/>
          <w:szCs w:val="24"/>
        </w:rPr>
        <w:t xml:space="preserve">laboratories is under negative pressure, to avoid </w:t>
      </w:r>
      <w:r>
        <w:rPr>
          <w:rFonts w:cs="Arial"/>
          <w:szCs w:val="24"/>
        </w:rPr>
        <w:t xml:space="preserve">airborne </w:t>
      </w:r>
      <w:r w:rsidRPr="00A26898">
        <w:rPr>
          <w:rFonts w:cs="Arial"/>
          <w:szCs w:val="24"/>
        </w:rPr>
        <w:t xml:space="preserve">contamination of surrounding facilities. </w:t>
      </w:r>
    </w:p>
    <w:p w14:paraId="61E48100" w14:textId="77777777" w:rsidR="00C2606B" w:rsidRPr="00A26898" w:rsidRDefault="00C2606B" w:rsidP="0050782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</w:rPr>
        <w:t xml:space="preserve">The appropriate </w:t>
      </w:r>
      <w:r w:rsidRPr="00A26898">
        <w:rPr>
          <w:rFonts w:cs="Arial"/>
        </w:rPr>
        <w:t xml:space="preserve">PPE is required at all times within laboratories. This includes users, visitors, trainees and others entering the workspace. Refer to the </w:t>
      </w:r>
      <w:r w:rsidRPr="00A26898">
        <w:rPr>
          <w:rFonts w:cs="Arial"/>
          <w:u w:val="single"/>
        </w:rPr>
        <w:t>BI Personal Protective Equipment (PPE) Policy</w:t>
      </w:r>
      <w:r w:rsidRPr="00473044">
        <w:rPr>
          <w:rFonts w:cs="Arial"/>
        </w:rPr>
        <w:t>.</w:t>
      </w:r>
    </w:p>
    <w:p w14:paraId="1635D57D" w14:textId="0D5279E8" w:rsidR="006F5E07" w:rsidRDefault="00DE3F08" w:rsidP="0050782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Most BI l</w:t>
      </w:r>
      <w:r w:rsidR="003D77CB" w:rsidRPr="00A26898">
        <w:rPr>
          <w:rFonts w:cs="Arial"/>
          <w:szCs w:val="24"/>
        </w:rPr>
        <w:t>ab</w:t>
      </w:r>
      <w:r w:rsidR="00E075F3">
        <w:rPr>
          <w:rFonts w:cs="Arial"/>
          <w:szCs w:val="24"/>
        </w:rPr>
        <w:t>oratorie</w:t>
      </w:r>
      <w:r w:rsidR="003D77CB" w:rsidRPr="00A26898">
        <w:rPr>
          <w:rFonts w:cs="Arial"/>
          <w:szCs w:val="24"/>
        </w:rPr>
        <w:t>s are equipped with separate hand-washing stations and emergency shower and eye wash stations</w:t>
      </w:r>
      <w:r w:rsidR="004419BF">
        <w:rPr>
          <w:rFonts w:cs="Arial"/>
          <w:szCs w:val="24"/>
        </w:rPr>
        <w:t xml:space="preserve"> (r</w:t>
      </w:r>
      <w:r w:rsidR="003D77CB" w:rsidRPr="00A26898">
        <w:rPr>
          <w:rFonts w:cs="Arial"/>
          <w:szCs w:val="24"/>
        </w:rPr>
        <w:t>efer to</w:t>
      </w:r>
      <w:r w:rsidR="00BA0737">
        <w:rPr>
          <w:rFonts w:cs="Arial"/>
          <w:szCs w:val="24"/>
        </w:rPr>
        <w:t xml:space="preserve"> the </w:t>
      </w:r>
      <w:r w:rsidR="00BA0737" w:rsidRPr="00BA0737">
        <w:rPr>
          <w:rFonts w:cs="Arial"/>
          <w:szCs w:val="24"/>
          <w:u w:val="single"/>
        </w:rPr>
        <w:t>BI Emergency Equipment</w:t>
      </w:r>
      <w:r w:rsidR="004837A7">
        <w:rPr>
          <w:rFonts w:cs="Arial"/>
          <w:szCs w:val="24"/>
          <w:u w:val="single"/>
        </w:rPr>
        <w:t xml:space="preserve"> Policy</w:t>
      </w:r>
      <w:r w:rsidR="004419BF">
        <w:rPr>
          <w:rFonts w:cs="Arial"/>
          <w:szCs w:val="24"/>
          <w:u w:val="single"/>
        </w:rPr>
        <w:t>)</w:t>
      </w:r>
      <w:r w:rsidR="003D77CB" w:rsidRPr="00A26898">
        <w:rPr>
          <w:rFonts w:cs="Arial"/>
          <w:szCs w:val="24"/>
        </w:rPr>
        <w:t xml:space="preserve">. </w:t>
      </w:r>
    </w:p>
    <w:p w14:paraId="2A4BD2E2" w14:textId="77777777" w:rsidR="003D77CB" w:rsidRPr="00A26898" w:rsidRDefault="006F5E07" w:rsidP="0050782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BA0737">
        <w:rPr>
          <w:rFonts w:cs="Arial"/>
          <w:szCs w:val="24"/>
        </w:rPr>
        <w:t xml:space="preserve">Laboratory areas that have become permeable </w:t>
      </w:r>
      <w:r>
        <w:rPr>
          <w:rFonts w:cs="Arial"/>
          <w:szCs w:val="24"/>
        </w:rPr>
        <w:t xml:space="preserve">and/or damaged </w:t>
      </w:r>
      <w:r w:rsidRPr="00BA0737">
        <w:rPr>
          <w:rFonts w:cs="Arial"/>
          <w:szCs w:val="24"/>
        </w:rPr>
        <w:t xml:space="preserve">will be </w:t>
      </w:r>
      <w:r>
        <w:rPr>
          <w:rFonts w:cs="Arial"/>
          <w:szCs w:val="24"/>
        </w:rPr>
        <w:t xml:space="preserve">reported to BI staff, and </w:t>
      </w:r>
      <w:r w:rsidRPr="00BA0737">
        <w:rPr>
          <w:rFonts w:cs="Arial"/>
          <w:szCs w:val="24"/>
        </w:rPr>
        <w:t>replaced or repaired</w:t>
      </w:r>
      <w:r>
        <w:rPr>
          <w:rFonts w:cs="Arial"/>
          <w:szCs w:val="24"/>
        </w:rPr>
        <w:t xml:space="preserve"> promptly</w:t>
      </w:r>
      <w:r w:rsidRPr="00BA0737">
        <w:rPr>
          <w:rFonts w:cs="Arial"/>
          <w:szCs w:val="24"/>
        </w:rPr>
        <w:t>.</w:t>
      </w:r>
    </w:p>
    <w:p w14:paraId="39E603F7" w14:textId="77777777" w:rsidR="003D77CB" w:rsidRPr="00A26898" w:rsidRDefault="003D77CB" w:rsidP="00AA5B66">
      <w:pPr>
        <w:pStyle w:val="Heading2"/>
      </w:pPr>
      <w:bookmarkStart w:id="2" w:name="_Toc370997372"/>
      <w:r w:rsidRPr="00A26898">
        <w:t>Accessibility</w:t>
      </w:r>
      <w:bookmarkEnd w:id="2"/>
    </w:p>
    <w:p w14:paraId="4832E8BB" w14:textId="77777777" w:rsidR="002E5B51" w:rsidRDefault="003D77CB" w:rsidP="0050782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>Only authorized personnel</w:t>
      </w:r>
      <w:r w:rsidR="00C2606B">
        <w:rPr>
          <w:rFonts w:cs="Arial"/>
          <w:szCs w:val="24"/>
        </w:rPr>
        <w:t>,</w:t>
      </w:r>
      <w:r w:rsidR="007E16D8">
        <w:rPr>
          <w:rFonts w:cs="Arial"/>
          <w:szCs w:val="24"/>
        </w:rPr>
        <w:t xml:space="preserve"> who have completed the </w:t>
      </w:r>
      <w:r w:rsidR="00C2606B">
        <w:rPr>
          <w:rFonts w:cs="Arial"/>
          <w:szCs w:val="24"/>
        </w:rPr>
        <w:t>necessary</w:t>
      </w:r>
      <w:r w:rsidR="007E16D8">
        <w:rPr>
          <w:rFonts w:cs="Arial"/>
          <w:szCs w:val="24"/>
        </w:rPr>
        <w:t xml:space="preserve"> </w:t>
      </w:r>
      <w:r w:rsidR="00C2606B">
        <w:rPr>
          <w:rFonts w:cs="Arial"/>
          <w:szCs w:val="24"/>
        </w:rPr>
        <w:t xml:space="preserve">safety training as outlined in the </w:t>
      </w:r>
      <w:r w:rsidR="00C2606B" w:rsidRPr="00C2606B">
        <w:rPr>
          <w:rFonts w:cs="Arial"/>
          <w:szCs w:val="24"/>
          <w:u w:val="single"/>
        </w:rPr>
        <w:t>BI Training Policy</w:t>
      </w:r>
      <w:r w:rsidR="00C2606B">
        <w:rPr>
          <w:rFonts w:cs="Arial"/>
          <w:szCs w:val="24"/>
        </w:rPr>
        <w:t>, may</w:t>
      </w:r>
      <w:r w:rsidRPr="00A26898">
        <w:rPr>
          <w:rFonts w:cs="Arial"/>
          <w:szCs w:val="24"/>
        </w:rPr>
        <w:t xml:space="preserve"> </w:t>
      </w:r>
      <w:r w:rsidR="00EF12F1">
        <w:rPr>
          <w:rFonts w:cs="Arial"/>
          <w:szCs w:val="24"/>
        </w:rPr>
        <w:t>access</w:t>
      </w:r>
      <w:r w:rsidRPr="00A26898">
        <w:rPr>
          <w:rFonts w:cs="Arial"/>
          <w:szCs w:val="24"/>
        </w:rPr>
        <w:t xml:space="preserve"> BI laboratories</w:t>
      </w:r>
      <w:r w:rsidR="00C2606B">
        <w:rPr>
          <w:rFonts w:cs="Arial"/>
          <w:szCs w:val="24"/>
        </w:rPr>
        <w:t xml:space="preserve"> independently</w:t>
      </w:r>
      <w:r w:rsidR="002E5B51">
        <w:rPr>
          <w:rFonts w:cs="Arial"/>
          <w:szCs w:val="24"/>
        </w:rPr>
        <w:t>.</w:t>
      </w:r>
    </w:p>
    <w:p w14:paraId="64172B24" w14:textId="3CCFCA26" w:rsidR="002E5B51" w:rsidRPr="002E5B51" w:rsidRDefault="002E5B51" w:rsidP="0050782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t>The main BI laboratory door</w:t>
      </w:r>
      <w:r w:rsidR="00EF12F1">
        <w:t xml:space="preserve"> and the </w:t>
      </w:r>
      <w:r w:rsidR="00381C11">
        <w:t>C</w:t>
      </w:r>
      <w:r w:rsidR="00EF12F1">
        <w:t>L-2 culture laboratories are</w:t>
      </w:r>
      <w:r>
        <w:t xml:space="preserve"> locked at all times, not propped open</w:t>
      </w:r>
      <w:r w:rsidR="00C2606B">
        <w:t>,</w:t>
      </w:r>
      <w:r>
        <w:t xml:space="preserve"> and controlled via electronic card access. </w:t>
      </w:r>
      <w:r w:rsidR="00C2606B">
        <w:t>A</w:t>
      </w:r>
      <w:r w:rsidRPr="002E5B51">
        <w:rPr>
          <w:rFonts w:cs="Arial"/>
          <w:szCs w:val="24"/>
        </w:rPr>
        <w:t>ccess is at the discretion of BI staff</w:t>
      </w:r>
      <w:r>
        <w:rPr>
          <w:rFonts w:cs="Arial"/>
          <w:szCs w:val="24"/>
        </w:rPr>
        <w:t>.</w:t>
      </w:r>
      <w:r w:rsidRPr="002E5B51">
        <w:rPr>
          <w:rFonts w:cs="Arial"/>
          <w:szCs w:val="24"/>
        </w:rPr>
        <w:t xml:space="preserve"> Refer to the </w:t>
      </w:r>
      <w:r w:rsidRPr="002E5B51">
        <w:rPr>
          <w:rFonts w:cs="Arial"/>
          <w:szCs w:val="24"/>
          <w:u w:val="single"/>
        </w:rPr>
        <w:t>BI Access Policy</w:t>
      </w:r>
      <w:r w:rsidRPr="002E5B51">
        <w:rPr>
          <w:rFonts w:cs="Arial"/>
          <w:szCs w:val="24"/>
        </w:rPr>
        <w:t>.</w:t>
      </w:r>
    </w:p>
    <w:p w14:paraId="67DF02C8" w14:textId="309F3D76" w:rsidR="003D77CB" w:rsidRPr="00A26898" w:rsidRDefault="00274E99" w:rsidP="0050782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923829">
        <w:rPr>
          <w:rFonts w:cs="Arial"/>
          <w:szCs w:val="24"/>
        </w:rPr>
        <w:t>All visitors</w:t>
      </w:r>
      <w:r w:rsidR="00B82C88">
        <w:rPr>
          <w:rFonts w:cs="Arial"/>
          <w:szCs w:val="24"/>
        </w:rPr>
        <w:t>, including emergency personnel,</w:t>
      </w:r>
      <w:r w:rsidRPr="00923829">
        <w:rPr>
          <w:rFonts w:cs="Arial"/>
          <w:szCs w:val="24"/>
        </w:rPr>
        <w:t xml:space="preserve"> entering BI laboratories must be documented in </w:t>
      </w:r>
      <w:r>
        <w:rPr>
          <w:rFonts w:cs="Arial"/>
          <w:szCs w:val="24"/>
        </w:rPr>
        <w:t xml:space="preserve">the </w:t>
      </w:r>
      <w:r w:rsidRPr="00FC75C2">
        <w:rPr>
          <w:rFonts w:cs="Arial"/>
          <w:szCs w:val="24"/>
          <w:u w:val="single"/>
        </w:rPr>
        <w:t>BI Visitor’s Log</w:t>
      </w:r>
      <w:r w:rsidR="00DE3F08" w:rsidRPr="00DE3F08">
        <w:rPr>
          <w:rFonts w:cs="Arial"/>
          <w:szCs w:val="24"/>
        </w:rPr>
        <w:t xml:space="preserve"> (located in ETB 416)</w:t>
      </w:r>
      <w:r>
        <w:rPr>
          <w:rFonts w:cs="Arial"/>
          <w:szCs w:val="24"/>
        </w:rPr>
        <w:t xml:space="preserve">, </w:t>
      </w:r>
      <w:r w:rsidR="003D77CB" w:rsidRPr="00A26898">
        <w:t xml:space="preserve">accompanied </w:t>
      </w:r>
      <w:r w:rsidR="00B46567" w:rsidRPr="00A26898">
        <w:t xml:space="preserve">at all times </w:t>
      </w:r>
      <w:r w:rsidR="003D77CB" w:rsidRPr="00A26898">
        <w:t xml:space="preserve">by authorized </w:t>
      </w:r>
      <w:r w:rsidR="007E16D8">
        <w:t>personnel</w:t>
      </w:r>
      <w:r w:rsidR="00DE3F08">
        <w:t>,</w:t>
      </w:r>
      <w:r w:rsidR="003D77CB" w:rsidRPr="00A26898">
        <w:t xml:space="preserve"> and don the appropriate PPE.</w:t>
      </w:r>
      <w:r w:rsidR="00E075F3">
        <w:t xml:space="preserve"> Refer to the </w:t>
      </w:r>
      <w:r w:rsidR="00E075F3" w:rsidRPr="00E075F3">
        <w:rPr>
          <w:u w:val="single"/>
        </w:rPr>
        <w:t xml:space="preserve">BI </w:t>
      </w:r>
      <w:r w:rsidR="00E075F3" w:rsidRPr="00B82C88">
        <w:rPr>
          <w:u w:val="single"/>
        </w:rPr>
        <w:t xml:space="preserve">Visitor </w:t>
      </w:r>
      <w:r w:rsidRPr="00B82C88">
        <w:rPr>
          <w:u w:val="single"/>
        </w:rPr>
        <w:t xml:space="preserve">and </w:t>
      </w:r>
      <w:r>
        <w:rPr>
          <w:u w:val="single"/>
        </w:rPr>
        <w:lastRenderedPageBreak/>
        <w:t>BI PPE Polic</w:t>
      </w:r>
      <w:r w:rsidR="00B82C88">
        <w:rPr>
          <w:u w:val="single"/>
        </w:rPr>
        <w:t>ies</w:t>
      </w:r>
      <w:r w:rsidR="00E075F3">
        <w:t>.</w:t>
      </w:r>
    </w:p>
    <w:p w14:paraId="717A9269" w14:textId="608B7EC6" w:rsidR="00041FFD" w:rsidRPr="006E372B" w:rsidRDefault="00E075F3" w:rsidP="0050782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041FFD">
        <w:rPr>
          <w:rFonts w:cs="Arial"/>
        </w:rPr>
        <w:t>Unauthorized persons found within biohazard</w:t>
      </w:r>
      <w:r w:rsidR="006E372B">
        <w:rPr>
          <w:rFonts w:cs="Arial"/>
        </w:rPr>
        <w:t>ous</w:t>
      </w:r>
      <w:r w:rsidRPr="00041FFD">
        <w:rPr>
          <w:rFonts w:cs="Arial"/>
        </w:rPr>
        <w:t xml:space="preserve"> labora</w:t>
      </w:r>
      <w:r w:rsidR="00041FFD" w:rsidRPr="00041FFD">
        <w:rPr>
          <w:rFonts w:cs="Arial"/>
        </w:rPr>
        <w:t>tories will be promptly removed</w:t>
      </w:r>
      <w:r w:rsidR="006E372B">
        <w:rPr>
          <w:rFonts w:cs="Arial"/>
        </w:rPr>
        <w:t xml:space="preserve"> and documented </w:t>
      </w:r>
      <w:r w:rsidR="00B46567">
        <w:rPr>
          <w:rFonts w:cs="Arial"/>
        </w:rPr>
        <w:t>(see below)</w:t>
      </w:r>
      <w:r w:rsidR="00274E99">
        <w:t>.</w:t>
      </w:r>
    </w:p>
    <w:p w14:paraId="064FCB98" w14:textId="77777777" w:rsidR="007E16D8" w:rsidRPr="007E16D8" w:rsidRDefault="007E16D8" w:rsidP="00AA5B66">
      <w:pPr>
        <w:pStyle w:val="Heading2"/>
        <w:rPr>
          <w:rFonts w:cstheme="minorBidi"/>
          <w:szCs w:val="22"/>
        </w:rPr>
      </w:pPr>
      <w:bookmarkStart w:id="3" w:name="_Toc339871438"/>
      <w:bookmarkStart w:id="4" w:name="_Toc370997373"/>
      <w:r>
        <w:t>Inventory</w:t>
      </w:r>
    </w:p>
    <w:p w14:paraId="3E424D07" w14:textId="219F6DC1" w:rsidR="004837A7" w:rsidRDefault="00733834" w:rsidP="00507829">
      <w:pPr>
        <w:pStyle w:val="ListParagraph"/>
        <w:numPr>
          <w:ilvl w:val="0"/>
          <w:numId w:val="26"/>
        </w:numPr>
        <w:ind w:left="567"/>
      </w:pPr>
      <w:r>
        <w:t>Bio</w:t>
      </w:r>
      <w:r w:rsidR="00B46567">
        <w:t>hazardous</w:t>
      </w:r>
      <w:r>
        <w:t xml:space="preserve"> agents must be captured on</w:t>
      </w:r>
      <w:r w:rsidR="00D800EC">
        <w:t xml:space="preserve"> </w:t>
      </w:r>
      <w:r w:rsidR="004837A7">
        <w:t xml:space="preserve">an </w:t>
      </w:r>
      <w:r w:rsidR="00D800EC">
        <w:t>approved</w:t>
      </w:r>
      <w:r>
        <w:t xml:space="preserve"> </w:t>
      </w:r>
      <w:r w:rsidR="004837A7">
        <w:t xml:space="preserve">McMaster </w:t>
      </w:r>
      <w:r>
        <w:t>BUP</w:t>
      </w:r>
      <w:r w:rsidR="00EF12F1">
        <w:t>s</w:t>
      </w:r>
      <w:r w:rsidR="004837A7">
        <w:t>.</w:t>
      </w:r>
      <w:r w:rsidR="004837A7" w:rsidRPr="004837A7">
        <w:t xml:space="preserve"> </w:t>
      </w:r>
      <w:r w:rsidR="004837A7">
        <w:t xml:space="preserve">Refer to the </w:t>
      </w:r>
      <w:r w:rsidR="004837A7" w:rsidRPr="005444B6">
        <w:rPr>
          <w:u w:val="single"/>
        </w:rPr>
        <w:t>BI Biohazardous Work Policy</w:t>
      </w:r>
      <w:r w:rsidR="003760AE">
        <w:t xml:space="preserve"> and</w:t>
      </w:r>
      <w:r w:rsidR="003760AE" w:rsidRPr="003760AE">
        <w:t xml:space="preserve"> </w:t>
      </w:r>
      <w:r w:rsidR="003760AE">
        <w:t xml:space="preserve">the </w:t>
      </w:r>
      <w:r w:rsidR="003760AE" w:rsidRPr="005444B6">
        <w:rPr>
          <w:u w:val="single"/>
        </w:rPr>
        <w:t>BI Substance Policy</w:t>
      </w:r>
    </w:p>
    <w:p w14:paraId="1091D1F9" w14:textId="43C4EC09" w:rsidR="002F2819" w:rsidRPr="00E075F3" w:rsidRDefault="00B46567" w:rsidP="00507829">
      <w:pPr>
        <w:pStyle w:val="ListParagraph"/>
        <w:numPr>
          <w:ilvl w:val="0"/>
          <w:numId w:val="26"/>
        </w:numPr>
        <w:ind w:left="567"/>
      </w:pPr>
      <w:r>
        <w:t xml:space="preserve">Biohazardous agent </w:t>
      </w:r>
      <w:r w:rsidR="003760AE">
        <w:t>inventories</w:t>
      </w:r>
      <w:r>
        <w:t xml:space="preserve"> </w:t>
      </w:r>
      <w:r w:rsidR="003760AE">
        <w:t xml:space="preserve">of BI Users </w:t>
      </w:r>
      <w:r w:rsidR="004837A7">
        <w:t xml:space="preserve">must be </w:t>
      </w:r>
      <w:r w:rsidR="003760AE">
        <w:t>shared with BI Biological Research Technician</w:t>
      </w:r>
      <w:r w:rsidR="00BF0208">
        <w:t>.</w:t>
      </w:r>
    </w:p>
    <w:p w14:paraId="06F51439" w14:textId="590997A0" w:rsidR="00EF12F1" w:rsidRPr="00B46567" w:rsidRDefault="00B46567" w:rsidP="00B11223">
      <w:pPr>
        <w:pStyle w:val="ListParagraph"/>
        <w:numPr>
          <w:ilvl w:val="0"/>
          <w:numId w:val="26"/>
        </w:numPr>
        <w:ind w:left="567"/>
        <w:rPr>
          <w:rFonts w:cs="Arial"/>
        </w:rPr>
      </w:pPr>
      <w:r w:rsidRPr="00B46567">
        <w:rPr>
          <w:rFonts w:cs="Arial"/>
          <w:szCs w:val="24"/>
        </w:rPr>
        <w:t>Incidences of discrepancies between lab items and inventory systems (e.g. i</w:t>
      </w:r>
      <w:r w:rsidR="00EF12F1" w:rsidRPr="00B46567">
        <w:rPr>
          <w:rFonts w:cs="Arial"/>
          <w:szCs w:val="24"/>
        </w:rPr>
        <w:t>nventoried but unaccountable biohazardous agents</w:t>
      </w:r>
      <w:r w:rsidRPr="00B46567">
        <w:rPr>
          <w:rFonts w:cs="Arial"/>
          <w:szCs w:val="24"/>
        </w:rPr>
        <w:t>) and unauthorized biohazardous agents</w:t>
      </w:r>
      <w:r w:rsidR="00EF12F1" w:rsidRPr="00B46567">
        <w:rPr>
          <w:rFonts w:cs="Arial"/>
          <w:szCs w:val="24"/>
        </w:rPr>
        <w:t xml:space="preserve"> will be </w:t>
      </w:r>
      <w:r w:rsidRPr="00B46567">
        <w:rPr>
          <w:rFonts w:cs="Arial"/>
          <w:szCs w:val="24"/>
        </w:rPr>
        <w:t>documented</w:t>
      </w:r>
      <w:r w:rsidR="00EF12F1" w:rsidRPr="00B46567">
        <w:rPr>
          <w:rFonts w:cs="Arial"/>
          <w:szCs w:val="24"/>
        </w:rPr>
        <w:t xml:space="preserve"> </w:t>
      </w:r>
      <w:r w:rsidRPr="00B46567">
        <w:rPr>
          <w:rFonts w:cs="Arial"/>
          <w:szCs w:val="24"/>
        </w:rPr>
        <w:t>(see below)</w:t>
      </w:r>
      <w:r w:rsidR="006E372B" w:rsidRPr="00B46567">
        <w:rPr>
          <w:rFonts w:cs="Arial"/>
        </w:rPr>
        <w:t>.</w:t>
      </w:r>
      <w:r>
        <w:rPr>
          <w:rFonts w:cs="Arial"/>
        </w:rPr>
        <w:t xml:space="preserve"> </w:t>
      </w:r>
      <w:r w:rsidR="00EF12F1" w:rsidRPr="00B46567">
        <w:rPr>
          <w:rFonts w:cs="Arial"/>
        </w:rPr>
        <w:t xml:space="preserve">Unauthorized biohazard </w:t>
      </w:r>
      <w:r w:rsidR="00EF12F1" w:rsidRPr="00B46567">
        <w:rPr>
          <w:rFonts w:cs="Arial"/>
          <w:szCs w:val="24"/>
        </w:rPr>
        <w:t xml:space="preserve">agents </w:t>
      </w:r>
      <w:r w:rsidR="00EF12F1" w:rsidRPr="00B46567">
        <w:rPr>
          <w:rFonts w:cs="Arial"/>
        </w:rPr>
        <w:t>found within BI laboratories will be de</w:t>
      </w:r>
      <w:r w:rsidR="006E372B" w:rsidRPr="00B46567">
        <w:rPr>
          <w:rFonts w:cs="Arial"/>
        </w:rPr>
        <w:t xml:space="preserve">stroyed as per the appropriate </w:t>
      </w:r>
      <w:r w:rsidR="00EF12F1" w:rsidRPr="00B46567">
        <w:rPr>
          <w:rFonts w:cs="Arial"/>
        </w:rPr>
        <w:t>SDS and/or PSDS</w:t>
      </w:r>
      <w:r>
        <w:rPr>
          <w:rFonts w:cs="Arial"/>
        </w:rPr>
        <w:t>.</w:t>
      </w:r>
      <w:r w:rsidR="00EF12F1" w:rsidRPr="00B46567">
        <w:rPr>
          <w:rFonts w:cs="Arial"/>
        </w:rPr>
        <w:t xml:space="preserve"> </w:t>
      </w:r>
    </w:p>
    <w:p w14:paraId="031584A9" w14:textId="0BA9A8B3" w:rsidR="002E5B51" w:rsidRPr="002E5B51" w:rsidRDefault="00381C11" w:rsidP="002E5B51">
      <w:pPr>
        <w:pStyle w:val="Heading3"/>
        <w:rPr>
          <w:szCs w:val="22"/>
        </w:rPr>
      </w:pPr>
      <w:r>
        <w:t>C</w:t>
      </w:r>
      <w:r w:rsidR="002E5B51">
        <w:t>L-2 items</w:t>
      </w:r>
    </w:p>
    <w:p w14:paraId="6B8F0978" w14:textId="150E451F" w:rsidR="004837A7" w:rsidRPr="004837A7" w:rsidRDefault="00381C11" w:rsidP="00507829">
      <w:pPr>
        <w:pStyle w:val="ListParagraph"/>
        <w:numPr>
          <w:ilvl w:val="0"/>
          <w:numId w:val="30"/>
        </w:numPr>
        <w:ind w:left="567"/>
      </w:pPr>
      <w:r>
        <w:rPr>
          <w:szCs w:val="24"/>
        </w:rPr>
        <w:t>CL</w:t>
      </w:r>
      <w:r w:rsidR="005444B6" w:rsidRPr="00EF12F1">
        <w:rPr>
          <w:szCs w:val="24"/>
        </w:rPr>
        <w:t xml:space="preserve">-2 items </w:t>
      </w:r>
      <w:r w:rsidR="00EF12F1">
        <w:rPr>
          <w:szCs w:val="24"/>
        </w:rPr>
        <w:t>must be</w:t>
      </w:r>
      <w:r w:rsidR="005444B6" w:rsidRPr="00EF12F1">
        <w:rPr>
          <w:szCs w:val="24"/>
        </w:rPr>
        <w:t xml:space="preserve"> secured from open-access</w:t>
      </w:r>
      <w:r w:rsidR="004837A7" w:rsidRPr="00EF12F1">
        <w:rPr>
          <w:szCs w:val="24"/>
        </w:rPr>
        <w:t>.</w:t>
      </w:r>
      <w:r w:rsidR="00EF12F1">
        <w:rPr>
          <w:szCs w:val="24"/>
        </w:rPr>
        <w:t xml:space="preserve"> </w:t>
      </w:r>
      <w:r w:rsidR="004837A7" w:rsidRPr="00EF12F1">
        <w:rPr>
          <w:szCs w:val="24"/>
        </w:rPr>
        <w:t xml:space="preserve">Fridges and freezers </w:t>
      </w:r>
      <w:r w:rsidR="002E5B51" w:rsidRPr="00EF12F1">
        <w:rPr>
          <w:szCs w:val="24"/>
        </w:rPr>
        <w:t xml:space="preserve">outside </w:t>
      </w:r>
      <w:r>
        <w:rPr>
          <w:szCs w:val="24"/>
        </w:rPr>
        <w:t>C</w:t>
      </w:r>
      <w:r w:rsidR="002E5B51" w:rsidRPr="00EF12F1">
        <w:rPr>
          <w:szCs w:val="24"/>
        </w:rPr>
        <w:t>L-2 culture laboratories that contain</w:t>
      </w:r>
      <w:r w:rsidR="004837A7" w:rsidRPr="00EF12F1">
        <w:rPr>
          <w:szCs w:val="24"/>
        </w:rPr>
        <w:t xml:space="preserve"> </w:t>
      </w:r>
      <w:r w:rsidR="002C534E">
        <w:rPr>
          <w:szCs w:val="24"/>
        </w:rPr>
        <w:t>C</w:t>
      </w:r>
      <w:r w:rsidR="004837A7" w:rsidRPr="00EF12F1">
        <w:rPr>
          <w:szCs w:val="24"/>
        </w:rPr>
        <w:t>L-2 agent</w:t>
      </w:r>
      <w:r w:rsidR="002E5B51" w:rsidRPr="00EF12F1">
        <w:rPr>
          <w:szCs w:val="24"/>
        </w:rPr>
        <w:t>(</w:t>
      </w:r>
      <w:r w:rsidR="004837A7" w:rsidRPr="00EF12F1">
        <w:rPr>
          <w:szCs w:val="24"/>
        </w:rPr>
        <w:t>s</w:t>
      </w:r>
      <w:r w:rsidR="002E5B51" w:rsidRPr="00EF12F1">
        <w:rPr>
          <w:szCs w:val="24"/>
        </w:rPr>
        <w:t>)</w:t>
      </w:r>
      <w:r w:rsidR="004837A7" w:rsidRPr="00EF12F1">
        <w:rPr>
          <w:szCs w:val="24"/>
        </w:rPr>
        <w:t xml:space="preserve"> are locked</w:t>
      </w:r>
      <w:r w:rsidR="002E5B51" w:rsidRPr="00EF12F1">
        <w:rPr>
          <w:szCs w:val="24"/>
        </w:rPr>
        <w:t xml:space="preserve"> at all times</w:t>
      </w:r>
      <w:r w:rsidR="004837A7" w:rsidRPr="00EF12F1">
        <w:rPr>
          <w:szCs w:val="24"/>
        </w:rPr>
        <w:t>.</w:t>
      </w:r>
    </w:p>
    <w:p w14:paraId="696B397B" w14:textId="77777777" w:rsidR="003D77CB" w:rsidRPr="00A26898" w:rsidRDefault="003D77CB" w:rsidP="00AA5B66">
      <w:pPr>
        <w:pStyle w:val="Heading2"/>
      </w:pPr>
      <w:r w:rsidRPr="00A26898">
        <w:t>Accountability</w:t>
      </w:r>
      <w:bookmarkEnd w:id="3"/>
      <w:bookmarkEnd w:id="4"/>
    </w:p>
    <w:p w14:paraId="51891B7E" w14:textId="77777777" w:rsidR="00D800EC" w:rsidRDefault="004837A7" w:rsidP="00507829">
      <w:pPr>
        <w:pStyle w:val="ListParagraph"/>
        <w:numPr>
          <w:ilvl w:val="0"/>
          <w:numId w:val="27"/>
        </w:numPr>
        <w:ind w:left="567"/>
      </w:pPr>
      <w:r>
        <w:t xml:space="preserve">The principle investigator associated with a McMaster BUP is responsible and accountable for the </w:t>
      </w:r>
      <w:r w:rsidR="00D800EC">
        <w:t>biological work, workers and inventory</w:t>
      </w:r>
      <w:r>
        <w:t xml:space="preserve"> listed therein.</w:t>
      </w:r>
    </w:p>
    <w:p w14:paraId="13F09BA0" w14:textId="77777777" w:rsidR="003D77CB" w:rsidRPr="00A26898" w:rsidRDefault="003D77CB" w:rsidP="005444B6">
      <w:pPr>
        <w:pStyle w:val="Heading2"/>
      </w:pPr>
      <w:bookmarkStart w:id="5" w:name="_Toc370997374"/>
      <w:bookmarkStart w:id="6" w:name="_Toc339871439"/>
      <w:r w:rsidRPr="00A26898">
        <w:t>Incident and Emergency Responses</w:t>
      </w:r>
      <w:bookmarkEnd w:id="5"/>
    </w:p>
    <w:p w14:paraId="108EFD5A" w14:textId="0DCD05A7" w:rsidR="006F5E07" w:rsidRPr="006F5E07" w:rsidRDefault="004837A7" w:rsidP="00507829">
      <w:pPr>
        <w:pStyle w:val="ListParagraph"/>
        <w:numPr>
          <w:ilvl w:val="0"/>
          <w:numId w:val="14"/>
        </w:numPr>
        <w:ind w:left="567"/>
        <w:rPr>
          <w:rFonts w:cs="Arial"/>
        </w:rPr>
      </w:pPr>
      <w:r>
        <w:rPr>
          <w:rFonts w:cs="Arial"/>
        </w:rPr>
        <w:t>E</w:t>
      </w:r>
      <w:r w:rsidR="003D77CB" w:rsidRPr="00A26898">
        <w:rPr>
          <w:rFonts w:cs="Arial"/>
        </w:rPr>
        <w:t>mer</w:t>
      </w:r>
      <w:r>
        <w:rPr>
          <w:rFonts w:cs="Arial"/>
        </w:rPr>
        <w:t xml:space="preserve">gency </w:t>
      </w:r>
      <w:r w:rsidRPr="00A26898">
        <w:rPr>
          <w:rFonts w:cs="Arial"/>
        </w:rPr>
        <w:t xml:space="preserve">and </w:t>
      </w:r>
      <w:r>
        <w:rPr>
          <w:rFonts w:cs="Arial"/>
        </w:rPr>
        <w:t>i</w:t>
      </w:r>
      <w:r w:rsidRPr="00A26898">
        <w:rPr>
          <w:rFonts w:cs="Arial"/>
        </w:rPr>
        <w:t xml:space="preserve">ncident </w:t>
      </w:r>
      <w:r>
        <w:rPr>
          <w:rFonts w:cs="Arial"/>
        </w:rPr>
        <w:t>response</w:t>
      </w:r>
      <w:r w:rsidR="00C2606B">
        <w:rPr>
          <w:rFonts w:cs="Arial"/>
        </w:rPr>
        <w:t>s</w:t>
      </w:r>
      <w:r>
        <w:rPr>
          <w:rFonts w:cs="Arial"/>
        </w:rPr>
        <w:t xml:space="preserve"> to intentional, unintentional, and</w:t>
      </w:r>
      <w:r w:rsidR="003D77CB" w:rsidRPr="00A26898">
        <w:rPr>
          <w:rFonts w:cs="Arial"/>
        </w:rPr>
        <w:t xml:space="preserve"> </w:t>
      </w:r>
      <w:r>
        <w:rPr>
          <w:rFonts w:cs="Arial"/>
        </w:rPr>
        <w:t>natural events</w:t>
      </w:r>
      <w:r w:rsidR="006F5E07">
        <w:rPr>
          <w:rFonts w:cs="Arial"/>
        </w:rPr>
        <w:t xml:space="preserve"> are</w:t>
      </w:r>
      <w:r w:rsidR="00C2606B">
        <w:rPr>
          <w:rFonts w:cs="Arial"/>
        </w:rPr>
        <w:t xml:space="preserve"> outlined in</w:t>
      </w:r>
      <w:r w:rsidR="003D77CB" w:rsidRPr="00A26898">
        <w:rPr>
          <w:rFonts w:cs="Arial"/>
        </w:rPr>
        <w:t xml:space="preserve"> the </w:t>
      </w:r>
      <w:r w:rsidR="003D77CB" w:rsidRPr="00A26898">
        <w:rPr>
          <w:rFonts w:cs="Arial"/>
          <w:u w:val="single"/>
        </w:rPr>
        <w:t xml:space="preserve">BI Emergency </w:t>
      </w:r>
      <w:r>
        <w:rPr>
          <w:rFonts w:cs="Arial"/>
          <w:u w:val="single"/>
        </w:rPr>
        <w:t xml:space="preserve">and Incident </w:t>
      </w:r>
      <w:r w:rsidR="003D77CB" w:rsidRPr="00A26898">
        <w:rPr>
          <w:rFonts w:cs="Arial"/>
          <w:u w:val="single"/>
        </w:rPr>
        <w:t>Response Policy</w:t>
      </w:r>
      <w:r w:rsidR="006F5E07">
        <w:rPr>
          <w:rFonts w:cs="Arial"/>
        </w:rPr>
        <w:t xml:space="preserve"> and require the completion of </w:t>
      </w:r>
      <w:r w:rsidR="00B46567">
        <w:rPr>
          <w:rFonts w:cs="Arial"/>
        </w:rPr>
        <w:t>appropriate documentation (see below)</w:t>
      </w:r>
      <w:r w:rsidR="006F5E07">
        <w:rPr>
          <w:rFonts w:cs="Arial"/>
        </w:rPr>
        <w:t>.</w:t>
      </w:r>
    </w:p>
    <w:p w14:paraId="589A3053" w14:textId="77777777" w:rsidR="003D77CB" w:rsidRPr="00A26898" w:rsidRDefault="003D77CB" w:rsidP="005444B6">
      <w:pPr>
        <w:pStyle w:val="Heading2"/>
      </w:pPr>
      <w:bookmarkStart w:id="7" w:name="_Toc370997375"/>
      <w:bookmarkEnd w:id="6"/>
      <w:r w:rsidRPr="00A26898">
        <w:t>Documentation</w:t>
      </w:r>
      <w:bookmarkEnd w:id="7"/>
    </w:p>
    <w:p w14:paraId="6A399CA2" w14:textId="0DD15EA1" w:rsidR="006E372B" w:rsidRDefault="006E372B" w:rsidP="00442DF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567"/>
      </w:pPr>
      <w:r w:rsidRPr="00B46567">
        <w:rPr>
          <w:rFonts w:cs="Arial"/>
          <w:szCs w:val="24"/>
        </w:rPr>
        <w:t>Biosecurity incidents</w:t>
      </w:r>
      <w:r w:rsidR="00B46567">
        <w:rPr>
          <w:rFonts w:cs="Arial"/>
          <w:szCs w:val="24"/>
        </w:rPr>
        <w:t xml:space="preserve">, including </w:t>
      </w:r>
      <w:r w:rsidR="00B46567">
        <w:t xml:space="preserve">lost, theft or misuse of biohazardous materials, breach of containment, unauthorized removal or discovery of pathogens, and entry of </w:t>
      </w:r>
      <w:r w:rsidR="00B46567" w:rsidRPr="00B46567">
        <w:rPr>
          <w:rFonts w:cs="Arial"/>
          <w:szCs w:val="24"/>
        </w:rPr>
        <w:t>unauthorized personnel</w:t>
      </w:r>
      <w:r w:rsidR="00B46567">
        <w:rPr>
          <w:rFonts w:cs="Arial"/>
          <w:szCs w:val="24"/>
        </w:rPr>
        <w:t>,</w:t>
      </w:r>
      <w:r w:rsidR="00B46567" w:rsidRPr="00B46567">
        <w:rPr>
          <w:rFonts w:cs="Arial"/>
          <w:szCs w:val="24"/>
        </w:rPr>
        <w:t xml:space="preserve"> </w:t>
      </w:r>
      <w:r w:rsidRPr="00B46567">
        <w:rPr>
          <w:rFonts w:cs="Arial"/>
          <w:szCs w:val="24"/>
        </w:rPr>
        <w:t>will be documented</w:t>
      </w:r>
      <w:r w:rsidR="00DE3F08" w:rsidRPr="00B46567">
        <w:rPr>
          <w:rFonts w:cs="Arial"/>
          <w:szCs w:val="24"/>
        </w:rPr>
        <w:t xml:space="preserve"> in a </w:t>
      </w:r>
      <w:r w:rsidR="00DE3F08" w:rsidRPr="00B46567">
        <w:rPr>
          <w:rFonts w:cs="Arial"/>
          <w:szCs w:val="24"/>
          <w:u w:val="single"/>
        </w:rPr>
        <w:t xml:space="preserve">McMaster Injury/Incident </w:t>
      </w:r>
      <w:r w:rsidR="00B46567" w:rsidRPr="00B46567">
        <w:rPr>
          <w:rFonts w:cs="Arial"/>
          <w:szCs w:val="24"/>
          <w:u w:val="single"/>
        </w:rPr>
        <w:t>Report</w:t>
      </w:r>
      <w:r w:rsidRPr="00B46567">
        <w:rPr>
          <w:rFonts w:cs="Arial"/>
          <w:szCs w:val="24"/>
        </w:rPr>
        <w:t xml:space="preserve"> </w:t>
      </w:r>
      <w:r w:rsidR="00DE3F08" w:rsidRPr="00B46567">
        <w:rPr>
          <w:rFonts w:cs="Arial"/>
          <w:szCs w:val="24"/>
        </w:rPr>
        <w:t xml:space="preserve">(refer to the </w:t>
      </w:r>
      <w:r w:rsidR="00DE3F08" w:rsidRPr="00B46567">
        <w:rPr>
          <w:rFonts w:cs="Arial"/>
          <w:szCs w:val="24"/>
          <w:u w:val="single"/>
        </w:rPr>
        <w:t>BI Emergency Procedures Policy</w:t>
      </w:r>
      <w:r w:rsidR="00DE3F08" w:rsidRPr="00B46567">
        <w:rPr>
          <w:rFonts w:cs="Arial"/>
          <w:szCs w:val="24"/>
        </w:rPr>
        <w:t xml:space="preserve">) and </w:t>
      </w:r>
      <w:r w:rsidR="00B46567">
        <w:rPr>
          <w:rFonts w:cs="Arial"/>
          <w:szCs w:val="24"/>
        </w:rPr>
        <w:t>communicated</w:t>
      </w:r>
      <w:r w:rsidR="00DE3F08" w:rsidRPr="00B46567">
        <w:rPr>
          <w:rFonts w:cs="Arial"/>
          <w:szCs w:val="24"/>
        </w:rPr>
        <w:t xml:space="preserve"> to </w:t>
      </w:r>
      <w:r w:rsidRPr="00B46567">
        <w:rPr>
          <w:rFonts w:cs="Arial"/>
          <w:szCs w:val="24"/>
        </w:rPr>
        <w:t xml:space="preserve">the BI Biological Research Technician, </w:t>
      </w:r>
      <w:r w:rsidRPr="00B46567">
        <w:rPr>
          <w:szCs w:val="24"/>
        </w:rPr>
        <w:t>the BI Director, and the McMaster Biosafety Office.</w:t>
      </w:r>
    </w:p>
    <w:p w14:paraId="3F3AE81D" w14:textId="77777777" w:rsidR="00EF12F1" w:rsidRDefault="00EF12F1" w:rsidP="0050782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Biosecurity compliance, accessibility logs, and biohazardous agent inventories</w:t>
      </w:r>
      <w:r w:rsidRPr="002E5B5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are</w:t>
      </w:r>
      <w:r w:rsidRPr="00E075F3">
        <w:rPr>
          <w:rFonts w:cs="Arial"/>
          <w:szCs w:val="24"/>
        </w:rPr>
        <w:t xml:space="preserve"> located in the BI office area</w:t>
      </w:r>
      <w:r>
        <w:rPr>
          <w:rFonts w:cs="Arial"/>
          <w:szCs w:val="24"/>
        </w:rPr>
        <w:t xml:space="preserve">. Refer to the </w:t>
      </w:r>
      <w:r w:rsidRPr="002E5B51">
        <w:rPr>
          <w:rFonts w:cs="Arial"/>
          <w:szCs w:val="24"/>
          <w:u w:val="single"/>
        </w:rPr>
        <w:t>BI Documentation Policy</w:t>
      </w:r>
      <w:r>
        <w:rPr>
          <w:rFonts w:cs="Arial"/>
          <w:szCs w:val="24"/>
        </w:rPr>
        <w:t>.</w:t>
      </w:r>
    </w:p>
    <w:sectPr w:rsidR="00EF12F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CA395" w14:textId="77777777" w:rsidR="001C12E8" w:rsidRDefault="001C12E8" w:rsidP="00696DF8">
      <w:r>
        <w:separator/>
      </w:r>
    </w:p>
  </w:endnote>
  <w:endnote w:type="continuationSeparator" w:id="0">
    <w:p w14:paraId="5EE672E2" w14:textId="77777777" w:rsidR="001C12E8" w:rsidRDefault="001C12E8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0109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A4E2CF" w14:textId="7237A960" w:rsidR="00696DF8" w:rsidRDefault="00696DF8" w:rsidP="00FA42DC">
            <w:pPr>
              <w:pStyle w:val="Foo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C9931A" wp14:editId="1D1D12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-96529</wp:posOffset>
                      </wp:positionV>
                      <wp:extent cx="5936615" cy="45719"/>
                      <wp:effectExtent l="0" t="0" r="698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661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C753C" id="Rectangle 5" o:spid="_x0000_s1026" style="position:absolute;margin-left:0;margin-top:-7.6pt;width:467.45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" fillcolor="#943634 [2405]" stroked="f" strokeweight="2pt"/>
                  </w:pict>
                </mc:Fallback>
              </mc:AlternateContent>
            </w:r>
            <w:r w:rsidR="005F468A">
              <w:t>Policy</w:t>
            </w:r>
            <w:r w:rsidR="006B277D">
              <w:t>ID</w:t>
            </w:r>
            <w:r w:rsidR="00B155CD">
              <w:t>:</w:t>
            </w:r>
            <w:r w:rsidR="006B277D">
              <w:t xml:space="preserve"> </w:t>
            </w:r>
            <w:r w:rsidR="00B7045A">
              <w:t>Biosecurity</w:t>
            </w:r>
            <w:r w:rsidR="00FA42DC">
              <w:tab/>
            </w:r>
            <w:r w:rsidR="00EF12F1">
              <w:t>Jan</w:t>
            </w:r>
            <w:r w:rsidR="00305F75">
              <w:t>. 2</w:t>
            </w:r>
            <w:r w:rsidR="003760AE">
              <w:t>021</w:t>
            </w:r>
            <w:r w:rsidR="00FA42DC"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D58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D58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E9DF2D3" w14:textId="77777777" w:rsidR="00696DF8" w:rsidRDefault="0069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0974A" w14:textId="77777777" w:rsidR="001C12E8" w:rsidRDefault="001C12E8" w:rsidP="00696DF8">
      <w:r>
        <w:separator/>
      </w:r>
    </w:p>
  </w:footnote>
  <w:footnote w:type="continuationSeparator" w:id="0">
    <w:p w14:paraId="5E16736E" w14:textId="77777777" w:rsidR="001C12E8" w:rsidRDefault="001C12E8" w:rsidP="0069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0DE88" w14:textId="77777777" w:rsidR="00696DF8" w:rsidRDefault="00696DF8">
    <w:pPr>
      <w:pStyle w:val="Header"/>
    </w:pPr>
    <w:r>
      <w:rPr>
        <w:noProof/>
        <w:lang w:eastAsia="en-CA"/>
      </w:rPr>
      <w:drawing>
        <wp:inline distT="0" distB="0" distL="0" distR="0" wp14:anchorId="3352E7F8" wp14:editId="0E99D23D">
          <wp:extent cx="2875042" cy="829339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3E232A07" wp14:editId="66102D66">
          <wp:extent cx="1500129" cy="829339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F5F64D" w14:textId="77777777" w:rsidR="00696DF8" w:rsidRDefault="00696DF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AA09D" wp14:editId="4DE0527E">
              <wp:simplePos x="0" y="0"/>
              <wp:positionH relativeFrom="column">
                <wp:posOffset>1</wp:posOffset>
              </wp:positionH>
              <wp:positionV relativeFrom="paragraph">
                <wp:posOffset>158883</wp:posOffset>
              </wp:positionV>
              <wp:extent cx="5936776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6776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1BAF1F" id="Rectangle 1" o:spid="_x0000_s1026" style="position:absolute;margin-left:0;margin-top:12.5pt;width:467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" fillcolor="#943634 [2405]" stroked="f" strokeweight="2pt"/>
          </w:pict>
        </mc:Fallback>
      </mc:AlternateContent>
    </w:r>
  </w:p>
  <w:p w14:paraId="50F6BB38" w14:textId="77777777" w:rsidR="00696DF8" w:rsidRDefault="00696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4AD"/>
    <w:multiLevelType w:val="multilevel"/>
    <w:tmpl w:val="047C7DD6"/>
    <w:styleLink w:val="StyleHeading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" w15:restartNumberingAfterBreak="0">
    <w:nsid w:val="04881369"/>
    <w:multiLevelType w:val="hybridMultilevel"/>
    <w:tmpl w:val="B1D2780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6D7810"/>
    <w:multiLevelType w:val="hybridMultilevel"/>
    <w:tmpl w:val="B9E291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B26"/>
    <w:multiLevelType w:val="hybridMultilevel"/>
    <w:tmpl w:val="3ED020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867908"/>
    <w:multiLevelType w:val="hybridMultilevel"/>
    <w:tmpl w:val="F9B05D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7459"/>
    <w:multiLevelType w:val="hybridMultilevel"/>
    <w:tmpl w:val="BFB2853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30DC7"/>
    <w:multiLevelType w:val="hybridMultilevel"/>
    <w:tmpl w:val="6928B026"/>
    <w:lvl w:ilvl="0" w:tplc="10090019">
      <w:start w:val="1"/>
      <w:numFmt w:val="lowerLetter"/>
      <w:lvlText w:val="%1."/>
      <w:lvlJc w:val="left"/>
      <w:pPr>
        <w:ind w:left="644" w:hanging="360"/>
      </w:pPr>
    </w:lvl>
    <w:lvl w:ilvl="1" w:tplc="1009001B">
      <w:start w:val="1"/>
      <w:numFmt w:val="lowerRoman"/>
      <w:lvlText w:val="%2."/>
      <w:lvlJc w:val="righ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B943BB"/>
    <w:multiLevelType w:val="hybridMultilevel"/>
    <w:tmpl w:val="478AFA5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24DBB"/>
    <w:multiLevelType w:val="hybridMultilevel"/>
    <w:tmpl w:val="A7AE69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2F24B80"/>
    <w:multiLevelType w:val="hybridMultilevel"/>
    <w:tmpl w:val="88B4C39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847A6"/>
    <w:multiLevelType w:val="hybridMultilevel"/>
    <w:tmpl w:val="6D28F02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B46F1"/>
    <w:multiLevelType w:val="hybridMultilevel"/>
    <w:tmpl w:val="B00EB8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F907573"/>
    <w:multiLevelType w:val="hybridMultilevel"/>
    <w:tmpl w:val="7E0067E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ED5"/>
    <w:multiLevelType w:val="hybridMultilevel"/>
    <w:tmpl w:val="68D88E16"/>
    <w:lvl w:ilvl="0" w:tplc="6B202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EE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06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C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6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AD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0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20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0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25E4F0A"/>
    <w:multiLevelType w:val="hybridMultilevel"/>
    <w:tmpl w:val="641636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41AB7"/>
    <w:multiLevelType w:val="hybridMultilevel"/>
    <w:tmpl w:val="72EEA3B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000002C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15564EA"/>
    <w:multiLevelType w:val="hybridMultilevel"/>
    <w:tmpl w:val="450E98C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5BA19F1"/>
    <w:multiLevelType w:val="hybridMultilevel"/>
    <w:tmpl w:val="C792DE4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D475C"/>
    <w:multiLevelType w:val="hybridMultilevel"/>
    <w:tmpl w:val="7E0067E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C03C0"/>
    <w:multiLevelType w:val="hybridMultilevel"/>
    <w:tmpl w:val="C9AEBC9C"/>
    <w:lvl w:ilvl="0" w:tplc="64EE57B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21FF5"/>
    <w:multiLevelType w:val="hybridMultilevel"/>
    <w:tmpl w:val="BFB2853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03461"/>
    <w:multiLevelType w:val="multilevel"/>
    <w:tmpl w:val="F1608426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22" w15:restartNumberingAfterBreak="0">
    <w:nsid w:val="69023859"/>
    <w:multiLevelType w:val="hybridMultilevel"/>
    <w:tmpl w:val="C590B8E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3464"/>
    <w:multiLevelType w:val="hybridMultilevel"/>
    <w:tmpl w:val="50309CF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E21E4"/>
    <w:multiLevelType w:val="hybridMultilevel"/>
    <w:tmpl w:val="7E0067E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71126"/>
    <w:multiLevelType w:val="hybridMultilevel"/>
    <w:tmpl w:val="0426968C"/>
    <w:lvl w:ilvl="0" w:tplc="EC4A7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40D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0F88E">
      <w:start w:val="7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1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4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48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8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6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4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A0C7D4D"/>
    <w:multiLevelType w:val="hybridMultilevel"/>
    <w:tmpl w:val="817E3A7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E0445"/>
    <w:multiLevelType w:val="hybridMultilevel"/>
    <w:tmpl w:val="33C451C8"/>
    <w:lvl w:ilvl="0" w:tplc="D122AC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A4201"/>
    <w:multiLevelType w:val="hybridMultilevel"/>
    <w:tmpl w:val="3E70B1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625C2"/>
    <w:multiLevelType w:val="hybridMultilevel"/>
    <w:tmpl w:val="CC3802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25"/>
  </w:num>
  <w:num w:numId="5">
    <w:abstractNumId w:val="0"/>
  </w:num>
  <w:num w:numId="6">
    <w:abstractNumId w:val="27"/>
  </w:num>
  <w:num w:numId="7">
    <w:abstractNumId w:val="28"/>
  </w:num>
  <w:num w:numId="8">
    <w:abstractNumId w:val="14"/>
  </w:num>
  <w:num w:numId="9">
    <w:abstractNumId w:val="11"/>
  </w:num>
  <w:num w:numId="10">
    <w:abstractNumId w:val="8"/>
  </w:num>
  <w:num w:numId="11">
    <w:abstractNumId w:val="16"/>
  </w:num>
  <w:num w:numId="12">
    <w:abstractNumId w:val="1"/>
  </w:num>
  <w:num w:numId="13">
    <w:abstractNumId w:val="6"/>
  </w:num>
  <w:num w:numId="14">
    <w:abstractNumId w:val="22"/>
  </w:num>
  <w:num w:numId="15">
    <w:abstractNumId w:val="20"/>
  </w:num>
  <w:num w:numId="16">
    <w:abstractNumId w:val="23"/>
  </w:num>
  <w:num w:numId="17">
    <w:abstractNumId w:val="7"/>
  </w:num>
  <w:num w:numId="18">
    <w:abstractNumId w:val="3"/>
  </w:num>
  <w:num w:numId="19">
    <w:abstractNumId w:val="5"/>
  </w:num>
  <w:num w:numId="20">
    <w:abstractNumId w:val="17"/>
  </w:num>
  <w:num w:numId="21">
    <w:abstractNumId w:val="4"/>
  </w:num>
  <w:num w:numId="22">
    <w:abstractNumId w:val="29"/>
  </w:num>
  <w:num w:numId="23">
    <w:abstractNumId w:val="15"/>
  </w:num>
  <w:num w:numId="24">
    <w:abstractNumId w:val="9"/>
  </w:num>
  <w:num w:numId="25">
    <w:abstractNumId w:val="26"/>
  </w:num>
  <w:num w:numId="26">
    <w:abstractNumId w:val="18"/>
  </w:num>
  <w:num w:numId="27">
    <w:abstractNumId w:val="12"/>
  </w:num>
  <w:num w:numId="28">
    <w:abstractNumId w:val="10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F8"/>
    <w:rsid w:val="00016A36"/>
    <w:rsid w:val="00041FFD"/>
    <w:rsid w:val="00045B40"/>
    <w:rsid w:val="000D760D"/>
    <w:rsid w:val="000F16F2"/>
    <w:rsid w:val="00126071"/>
    <w:rsid w:val="001551FE"/>
    <w:rsid w:val="0015717F"/>
    <w:rsid w:val="001973A3"/>
    <w:rsid w:val="001C12E8"/>
    <w:rsid w:val="00222138"/>
    <w:rsid w:val="00227B1A"/>
    <w:rsid w:val="00260844"/>
    <w:rsid w:val="00274E99"/>
    <w:rsid w:val="00284D22"/>
    <w:rsid w:val="002C534E"/>
    <w:rsid w:val="002E5B51"/>
    <w:rsid w:val="002F2819"/>
    <w:rsid w:val="00303EFC"/>
    <w:rsid w:val="00305F75"/>
    <w:rsid w:val="003144B0"/>
    <w:rsid w:val="00344128"/>
    <w:rsid w:val="003760AE"/>
    <w:rsid w:val="00381C11"/>
    <w:rsid w:val="003B4E9C"/>
    <w:rsid w:val="003D77CB"/>
    <w:rsid w:val="00422386"/>
    <w:rsid w:val="004360DB"/>
    <w:rsid w:val="004419BF"/>
    <w:rsid w:val="00473044"/>
    <w:rsid w:val="004837A7"/>
    <w:rsid w:val="0049363A"/>
    <w:rsid w:val="004B3C7C"/>
    <w:rsid w:val="00507829"/>
    <w:rsid w:val="00516EE5"/>
    <w:rsid w:val="00540896"/>
    <w:rsid w:val="005444B6"/>
    <w:rsid w:val="0056533A"/>
    <w:rsid w:val="00596F98"/>
    <w:rsid w:val="005C3DEC"/>
    <w:rsid w:val="005E526F"/>
    <w:rsid w:val="005F468A"/>
    <w:rsid w:val="00684049"/>
    <w:rsid w:val="00696DF8"/>
    <w:rsid w:val="006B277D"/>
    <w:rsid w:val="006E372B"/>
    <w:rsid w:val="006F00C2"/>
    <w:rsid w:val="006F5E07"/>
    <w:rsid w:val="007276FF"/>
    <w:rsid w:val="00733834"/>
    <w:rsid w:val="007525E2"/>
    <w:rsid w:val="00753574"/>
    <w:rsid w:val="00796576"/>
    <w:rsid w:val="007E16D8"/>
    <w:rsid w:val="00835FDE"/>
    <w:rsid w:val="00887FCE"/>
    <w:rsid w:val="008A0DC2"/>
    <w:rsid w:val="008A4D10"/>
    <w:rsid w:val="008F45BC"/>
    <w:rsid w:val="00913EB4"/>
    <w:rsid w:val="0092246B"/>
    <w:rsid w:val="009235DE"/>
    <w:rsid w:val="00924410"/>
    <w:rsid w:val="009649E6"/>
    <w:rsid w:val="009C615C"/>
    <w:rsid w:val="00A215E2"/>
    <w:rsid w:val="00A308B5"/>
    <w:rsid w:val="00AA5B66"/>
    <w:rsid w:val="00AA7974"/>
    <w:rsid w:val="00AC11AA"/>
    <w:rsid w:val="00B03D84"/>
    <w:rsid w:val="00B155CD"/>
    <w:rsid w:val="00B46567"/>
    <w:rsid w:val="00B52BA1"/>
    <w:rsid w:val="00B7045A"/>
    <w:rsid w:val="00B82C88"/>
    <w:rsid w:val="00BA0737"/>
    <w:rsid w:val="00BA481B"/>
    <w:rsid w:val="00BA489F"/>
    <w:rsid w:val="00BB20FF"/>
    <w:rsid w:val="00BC1E1E"/>
    <w:rsid w:val="00BD58B1"/>
    <w:rsid w:val="00BE21AF"/>
    <w:rsid w:val="00BF0208"/>
    <w:rsid w:val="00C2606B"/>
    <w:rsid w:val="00C71308"/>
    <w:rsid w:val="00CF74F6"/>
    <w:rsid w:val="00D165AF"/>
    <w:rsid w:val="00D800EC"/>
    <w:rsid w:val="00DC6F1E"/>
    <w:rsid w:val="00DD40B1"/>
    <w:rsid w:val="00DE3F08"/>
    <w:rsid w:val="00E075F3"/>
    <w:rsid w:val="00E15DD4"/>
    <w:rsid w:val="00E51C87"/>
    <w:rsid w:val="00EE2287"/>
    <w:rsid w:val="00EF12F1"/>
    <w:rsid w:val="00F01BAA"/>
    <w:rsid w:val="00F20029"/>
    <w:rsid w:val="00F40AF1"/>
    <w:rsid w:val="00F47AD3"/>
    <w:rsid w:val="00F67A85"/>
    <w:rsid w:val="00F75CEF"/>
    <w:rsid w:val="00FA42DC"/>
    <w:rsid w:val="00FB4CB6"/>
    <w:rsid w:val="00FC71B3"/>
    <w:rsid w:val="00F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EE42B"/>
  <w15:docId w15:val="{6E5F52CF-21E2-43D1-9A75-0BFDFF37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7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305F75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05F75"/>
    <w:pPr>
      <w:numPr>
        <w:ilvl w:val="1"/>
        <w:numId w:val="1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05F75"/>
    <w:pPr>
      <w:numPr>
        <w:ilvl w:val="2"/>
        <w:numId w:val="1"/>
      </w:numPr>
      <w:spacing w:before="120" w:after="60" w:line="240" w:lineRule="auto"/>
      <w:outlineLvl w:val="2"/>
    </w:pPr>
    <w:rPr>
      <w:rFonts w:ascii="Arial" w:eastAsiaTheme="majorEastAsia" w:hAnsi="Arial" w:cstheme="majorBidi"/>
      <w:b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305F75"/>
    <w:pPr>
      <w:numPr>
        <w:ilvl w:val="3"/>
        <w:numId w:val="1"/>
      </w:numPr>
      <w:spacing w:before="120" w:after="6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5F7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F75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F75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5F75"/>
    <w:rPr>
      <w:rFonts w:ascii="Times New Roman" w:eastAsiaTheme="majorEastAsia" w:hAnsi="Times New Roman" w:cstheme="majorBidi"/>
      <w:b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305F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F75"/>
    <w:pPr>
      <w:ind w:left="720"/>
      <w:contextualSpacing/>
    </w:pPr>
  </w:style>
  <w:style w:type="numbering" w:customStyle="1" w:styleId="StyleHeadings">
    <w:name w:val="StyleHeadings"/>
    <w:uiPriority w:val="99"/>
    <w:rsid w:val="003D77C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6C4571FBD054D981C83215AA13DF6" ma:contentTypeVersion="12" ma:contentTypeDescription="Create a new document." ma:contentTypeScope="" ma:versionID="2d085a18b060c747c866445589695065">
  <xsd:schema xmlns:xsd="http://www.w3.org/2001/XMLSchema" xmlns:xs="http://www.w3.org/2001/XMLSchema" xmlns:p="http://schemas.microsoft.com/office/2006/metadata/properties" xmlns:ns2="5b05b671-57e0-4ba5-b2b5-ca188aee88a4" xmlns:ns3="9f2fff45-f587-46df-b09e-f69204cd9219" targetNamespace="http://schemas.microsoft.com/office/2006/metadata/properties" ma:root="true" ma:fieldsID="4bf64e1e81753d807f429a08bf4d9d0a" ns2:_="" ns3:_="">
    <xsd:import namespace="5b05b671-57e0-4ba5-b2b5-ca188aee88a4"/>
    <xsd:import namespace="9f2fff45-f587-46df-b09e-f69204cd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671-57e0-4ba5-b2b5-ca188ae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f45-f587-46df-b09e-f69204cd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FD0980-A604-4A0C-95EF-A7A771B58E24}"/>
</file>

<file path=customXml/itemProps2.xml><?xml version="1.0" encoding="utf-8"?>
<ds:datastoreItem xmlns:ds="http://schemas.openxmlformats.org/officeDocument/2006/customXml" ds:itemID="{3474BD5B-1487-4543-AFEC-8A148D862A9F}"/>
</file>

<file path=customXml/itemProps3.xml><?xml version="1.0" encoding="utf-8"?>
<ds:datastoreItem xmlns:ds="http://schemas.openxmlformats.org/officeDocument/2006/customXml" ds:itemID="{E872E4C9-4520-4468-B9AE-FD2622E94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Princz, Marta</cp:lastModifiedBy>
  <cp:revision>47</cp:revision>
  <cp:lastPrinted>2017-03-15T15:35:00Z</cp:lastPrinted>
  <dcterms:created xsi:type="dcterms:W3CDTF">2013-12-12T16:17:00Z</dcterms:created>
  <dcterms:modified xsi:type="dcterms:W3CDTF">2021-03-11T18:08:00Z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0x010100AC16C4571FBD054D981C83215AA13DF6</vt:lpwstr>
  </property>
</Properties>
</file>