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A0B9" w14:textId="77777777" w:rsidR="008B01BE" w:rsidRDefault="008B01BE" w:rsidP="008B01BE">
      <w:pPr>
        <w:pStyle w:val="Heading1"/>
      </w:pPr>
      <w:bookmarkStart w:id="0" w:name="_Toc370997435"/>
      <w:r>
        <w:t xml:space="preserve">BI Emergency </w:t>
      </w:r>
      <w:r w:rsidR="00651646">
        <w:t>Procedures</w:t>
      </w:r>
      <w:r>
        <w:t xml:space="preserve"> </w:t>
      </w:r>
      <w:r w:rsidR="003D5778">
        <w:t>Policy</w:t>
      </w:r>
      <w:r w:rsidR="00A37320">
        <w:t xml:space="preserve"> – Biohazardous </w:t>
      </w:r>
    </w:p>
    <w:bookmarkEnd w:id="0"/>
    <w:p w14:paraId="33D59D65" w14:textId="6442497E" w:rsidR="00A37320" w:rsidRPr="00563EDA" w:rsidRDefault="00A37320" w:rsidP="009A0C48">
      <w:pPr>
        <w:pStyle w:val="ListParagraph"/>
        <w:numPr>
          <w:ilvl w:val="0"/>
          <w:numId w:val="42"/>
        </w:numPr>
        <w:ind w:left="567"/>
      </w:pPr>
      <w:r>
        <w:t>This policy covers biohazardous emergency situations</w:t>
      </w:r>
      <w:r w:rsidR="00563EDA">
        <w:t xml:space="preserve"> and procedures</w:t>
      </w:r>
      <w:r w:rsidR="006F2ED7">
        <w:t>, except for spills</w:t>
      </w:r>
      <w:r w:rsidR="006F2ED7">
        <w:rPr>
          <w:rFonts w:cs="Arial"/>
          <w:szCs w:val="24"/>
        </w:rPr>
        <w:t>.</w:t>
      </w:r>
    </w:p>
    <w:p w14:paraId="68152135" w14:textId="78422E93" w:rsidR="00563EDA" w:rsidRPr="0059527B" w:rsidRDefault="00563EDA" w:rsidP="00563EDA">
      <w:pPr>
        <w:pStyle w:val="ListParagraph"/>
        <w:numPr>
          <w:ilvl w:val="1"/>
          <w:numId w:val="42"/>
        </w:numPr>
        <w:ind w:left="1134" w:hanging="141"/>
      </w:pPr>
      <w:r>
        <w:t>For emergency procedures for evacuation, fire, medical emergencies, flood, gas asphyxiation, fume-hood failure, lock-down, and weather related and utility</w:t>
      </w:r>
      <w:r w:rsidRPr="00A37320">
        <w:rPr>
          <w:rFonts w:cs="Arial"/>
          <w:szCs w:val="24"/>
        </w:rPr>
        <w:t xml:space="preserve">, refer to the </w:t>
      </w:r>
      <w:r w:rsidRPr="00A37320">
        <w:rPr>
          <w:rFonts w:cs="Arial"/>
          <w:szCs w:val="24"/>
          <w:u w:val="single"/>
        </w:rPr>
        <w:t>BI Incident and Emergency Response Policy</w:t>
      </w:r>
      <w:r>
        <w:rPr>
          <w:rFonts w:cs="Arial"/>
          <w:szCs w:val="24"/>
          <w:u w:val="single"/>
        </w:rPr>
        <w:t>.</w:t>
      </w:r>
    </w:p>
    <w:p w14:paraId="0DA7DD60" w14:textId="77777777" w:rsidR="00563EDA" w:rsidRPr="007D7FCC" w:rsidRDefault="00563EDA" w:rsidP="00563EDA">
      <w:pPr>
        <w:pStyle w:val="ListParagraph"/>
        <w:numPr>
          <w:ilvl w:val="1"/>
          <w:numId w:val="42"/>
        </w:numPr>
        <w:ind w:left="1134" w:hanging="141"/>
      </w:pPr>
      <w:r w:rsidRPr="0059527B">
        <w:rPr>
          <w:rFonts w:cs="Arial"/>
          <w:szCs w:val="24"/>
        </w:rPr>
        <w:t>For spill</w:t>
      </w:r>
      <w:r>
        <w:rPr>
          <w:rFonts w:cs="Arial"/>
          <w:szCs w:val="24"/>
        </w:rPr>
        <w:t xml:space="preserve"> procedures</w:t>
      </w:r>
      <w:r w:rsidRPr="0059527B">
        <w:rPr>
          <w:rFonts w:cs="Arial"/>
          <w:szCs w:val="24"/>
        </w:rPr>
        <w:t>, refer to the</w:t>
      </w:r>
      <w:r>
        <w:rPr>
          <w:rFonts w:cs="Arial"/>
          <w:szCs w:val="24"/>
        </w:rPr>
        <w:t xml:space="preserve"> appropriate </w:t>
      </w:r>
      <w:r w:rsidRPr="0059527B">
        <w:rPr>
          <w:rFonts w:cs="Arial"/>
          <w:szCs w:val="24"/>
          <w:u w:val="single"/>
        </w:rPr>
        <w:t xml:space="preserve">BI Emergency </w:t>
      </w:r>
      <w:r>
        <w:rPr>
          <w:rFonts w:cs="Arial"/>
          <w:szCs w:val="24"/>
          <w:u w:val="single"/>
        </w:rPr>
        <w:t>Procedures</w:t>
      </w:r>
      <w:r w:rsidRPr="0059527B">
        <w:rPr>
          <w:rFonts w:cs="Arial"/>
          <w:szCs w:val="24"/>
          <w:u w:val="single"/>
        </w:rPr>
        <w:t xml:space="preserve"> Policy – </w:t>
      </w:r>
      <w:r>
        <w:rPr>
          <w:rFonts w:cs="Arial"/>
          <w:szCs w:val="24"/>
          <w:u w:val="single"/>
        </w:rPr>
        <w:t>Spills</w:t>
      </w:r>
      <w:r w:rsidRPr="0059527B">
        <w:rPr>
          <w:rFonts w:cs="Arial"/>
          <w:szCs w:val="24"/>
        </w:rPr>
        <w:t>.</w:t>
      </w:r>
    </w:p>
    <w:p w14:paraId="7BE46DA9" w14:textId="77777777" w:rsidR="00563EDA" w:rsidRPr="007D7FCC" w:rsidRDefault="00563EDA" w:rsidP="00563EDA">
      <w:pPr>
        <w:pStyle w:val="ListParagraph"/>
        <w:numPr>
          <w:ilvl w:val="1"/>
          <w:numId w:val="42"/>
        </w:numPr>
        <w:ind w:left="1134" w:hanging="141"/>
      </w:pPr>
      <w:r w:rsidRPr="007D7FCC">
        <w:rPr>
          <w:rFonts w:cs="Arial"/>
          <w:szCs w:val="24"/>
        </w:rPr>
        <w:t xml:space="preserve">For post emergency </w:t>
      </w:r>
      <w:r>
        <w:rPr>
          <w:rFonts w:cs="Arial"/>
          <w:szCs w:val="24"/>
        </w:rPr>
        <w:t>procedures</w:t>
      </w:r>
      <w:r w:rsidRPr="007D7FCC">
        <w:rPr>
          <w:rFonts w:cs="Arial"/>
          <w:szCs w:val="24"/>
        </w:rPr>
        <w:t xml:space="preserve">, refer to the </w:t>
      </w:r>
      <w:r w:rsidRPr="007D7FCC">
        <w:rPr>
          <w:rFonts w:cs="Arial"/>
          <w:szCs w:val="24"/>
          <w:u w:val="single"/>
        </w:rPr>
        <w:t>BI Emergency Procedures Policy – Post Emergency</w:t>
      </w:r>
      <w:r w:rsidRPr="007D7FCC">
        <w:rPr>
          <w:rFonts w:cs="Arial"/>
          <w:szCs w:val="24"/>
        </w:rPr>
        <w:t>.</w:t>
      </w:r>
    </w:p>
    <w:p w14:paraId="4CC3A4D7" w14:textId="77777777" w:rsidR="006367A7" w:rsidRPr="002043FB" w:rsidRDefault="006367A7" w:rsidP="006367A7">
      <w:pPr>
        <w:pStyle w:val="ListParagraph"/>
        <w:numPr>
          <w:ilvl w:val="0"/>
          <w:numId w:val="42"/>
        </w:numPr>
        <w:ind w:left="567"/>
      </w:pPr>
      <w:r>
        <w:rPr>
          <w:rFonts w:cs="Arial"/>
          <w:szCs w:val="24"/>
        </w:rPr>
        <w:t>Emergency procedures</w:t>
      </w:r>
      <w:r w:rsidRPr="007D7F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should be in accordance with</w:t>
      </w:r>
      <w:r w:rsidRPr="007D7FCC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“</w:t>
      </w:r>
      <w:r>
        <w:rPr>
          <w:rFonts w:cs="Arial"/>
          <w:bCs/>
          <w:szCs w:val="24"/>
        </w:rPr>
        <w:t>McMaster</w:t>
      </w:r>
      <w:r w:rsidRPr="007D7FCC">
        <w:rPr>
          <w:rFonts w:cs="Arial"/>
          <w:bCs/>
          <w:szCs w:val="24"/>
        </w:rPr>
        <w:t xml:space="preserve"> Emergency Guidebook</w:t>
      </w:r>
      <w:r>
        <w:rPr>
          <w:rFonts w:cs="Arial"/>
          <w:bCs/>
          <w:szCs w:val="24"/>
        </w:rPr>
        <w:t>” (</w:t>
      </w:r>
      <w:r w:rsidRPr="007D7FCC">
        <w:rPr>
          <w:rFonts w:cs="Arial"/>
          <w:szCs w:val="24"/>
        </w:rPr>
        <w:t>https://security.mcmaster.ca/campus_emergencies_guide.html</w:t>
      </w:r>
      <w:r>
        <w:rPr>
          <w:rFonts w:cs="Arial"/>
          <w:szCs w:val="24"/>
        </w:rPr>
        <w:t>)</w:t>
      </w:r>
      <w:r w:rsidRPr="007D7FCC">
        <w:rPr>
          <w:rFonts w:cs="Arial"/>
          <w:szCs w:val="24"/>
        </w:rPr>
        <w:t>.</w:t>
      </w:r>
    </w:p>
    <w:p w14:paraId="224472E5" w14:textId="07A4B919" w:rsidR="000F725D" w:rsidRPr="00A26898" w:rsidRDefault="000F725D" w:rsidP="009A0C48">
      <w:pPr>
        <w:pStyle w:val="ListParagraph"/>
        <w:numPr>
          <w:ilvl w:val="0"/>
          <w:numId w:val="42"/>
        </w:numPr>
        <w:ind w:left="567"/>
        <w:rPr>
          <w:rFonts w:cs="Arial"/>
        </w:rPr>
      </w:pPr>
      <w:r>
        <w:rPr>
          <w:rFonts w:cs="Arial"/>
        </w:rPr>
        <w:t>BI users</w:t>
      </w:r>
      <w:r w:rsidRPr="00A26898">
        <w:rPr>
          <w:rFonts w:cs="Arial"/>
        </w:rPr>
        <w:t xml:space="preserve"> </w:t>
      </w:r>
      <w:r w:rsidR="00563EDA">
        <w:rPr>
          <w:rFonts w:cs="Arial"/>
        </w:rPr>
        <w:t>un</w:t>
      </w:r>
      <w:r w:rsidRPr="00A26898">
        <w:rPr>
          <w:rFonts w:cs="Arial"/>
        </w:rPr>
        <w:t>comfortable</w:t>
      </w:r>
      <w:r w:rsidR="00563EDA">
        <w:rPr>
          <w:rFonts w:cs="Arial"/>
        </w:rPr>
        <w:t xml:space="preserve"> with</w:t>
      </w:r>
      <w:r w:rsidRPr="00A26898">
        <w:rPr>
          <w:rFonts w:cs="Arial"/>
        </w:rPr>
        <w:t xml:space="preserve"> responding to any </w:t>
      </w:r>
      <w:r>
        <w:rPr>
          <w:rFonts w:cs="Arial"/>
        </w:rPr>
        <w:t>incident/</w:t>
      </w:r>
      <w:proofErr w:type="gramStart"/>
      <w:r>
        <w:rPr>
          <w:rFonts w:cs="Arial"/>
        </w:rPr>
        <w:t>emergency situation</w:t>
      </w:r>
      <w:proofErr w:type="gramEnd"/>
      <w:r>
        <w:rPr>
          <w:rFonts w:cs="Arial"/>
        </w:rPr>
        <w:t>, should seek</w:t>
      </w:r>
      <w:r w:rsidRPr="00A26898">
        <w:rPr>
          <w:rFonts w:cs="Arial"/>
        </w:rPr>
        <w:t xml:space="preserve"> </w:t>
      </w:r>
      <w:r w:rsidR="00543A34">
        <w:rPr>
          <w:rFonts w:cs="Arial"/>
        </w:rPr>
        <w:t xml:space="preserve">emergency </w:t>
      </w:r>
      <w:r w:rsidRPr="00A26898">
        <w:rPr>
          <w:rFonts w:cs="Arial"/>
        </w:rPr>
        <w:t>assistance.</w:t>
      </w:r>
    </w:p>
    <w:p w14:paraId="36F8903C" w14:textId="4EF4333F" w:rsidR="000F725D" w:rsidRDefault="000F725D" w:rsidP="009A0C48">
      <w:pPr>
        <w:pStyle w:val="ListParagraph"/>
        <w:numPr>
          <w:ilvl w:val="0"/>
          <w:numId w:val="42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Users should inform their supervisor(s), BI staff, and McMaster safety offices of </w:t>
      </w:r>
      <w:r w:rsidRPr="000F725D">
        <w:rPr>
          <w:rFonts w:cs="Arial"/>
          <w:szCs w:val="24"/>
        </w:rPr>
        <w:t>all incident and emergency situations, including spi</w:t>
      </w:r>
      <w:r>
        <w:rPr>
          <w:rFonts w:cs="Arial"/>
          <w:szCs w:val="24"/>
        </w:rPr>
        <w:t xml:space="preserve">lls, </w:t>
      </w:r>
      <w:proofErr w:type="gramStart"/>
      <w:r>
        <w:rPr>
          <w:rFonts w:cs="Arial"/>
          <w:szCs w:val="24"/>
        </w:rPr>
        <w:t>accidents</w:t>
      </w:r>
      <w:proofErr w:type="gramEnd"/>
      <w:r>
        <w:rPr>
          <w:rFonts w:cs="Arial"/>
          <w:szCs w:val="24"/>
        </w:rPr>
        <w:t xml:space="preserve"> and exposures</w:t>
      </w:r>
      <w:r w:rsidR="00543A34">
        <w:rPr>
          <w:rFonts w:cs="Arial"/>
          <w:szCs w:val="24"/>
        </w:rPr>
        <w:t>, via the completion</w:t>
      </w:r>
      <w:r>
        <w:rPr>
          <w:rFonts w:cs="Arial"/>
          <w:szCs w:val="24"/>
        </w:rPr>
        <w:t xml:space="preserve"> of a</w:t>
      </w:r>
      <w:r w:rsidRPr="00A666FF">
        <w:rPr>
          <w:rFonts w:cs="Arial"/>
          <w:szCs w:val="24"/>
        </w:rPr>
        <w:t xml:space="preserve"> </w:t>
      </w:r>
      <w:r w:rsidRPr="00543A34">
        <w:rPr>
          <w:rFonts w:cs="Arial"/>
          <w:szCs w:val="24"/>
          <w:u w:val="single"/>
        </w:rPr>
        <w:t>McMaster I</w:t>
      </w:r>
      <w:r w:rsidRPr="00776F3F">
        <w:rPr>
          <w:rFonts w:cs="Arial"/>
          <w:szCs w:val="24"/>
          <w:u w:val="single"/>
        </w:rPr>
        <w:t>ncident/injury Report</w:t>
      </w:r>
      <w:r w:rsidR="00563EDA" w:rsidRPr="00563EDA">
        <w:rPr>
          <w:rFonts w:cs="Arial"/>
          <w:szCs w:val="24"/>
        </w:rPr>
        <w:t xml:space="preserve">; refer </w:t>
      </w:r>
      <w:r w:rsidR="00563EDA">
        <w:rPr>
          <w:rFonts w:cs="Arial"/>
          <w:szCs w:val="24"/>
        </w:rPr>
        <w:t xml:space="preserve">to the </w:t>
      </w:r>
      <w:r w:rsidR="00563EDA" w:rsidRPr="006F2ED7">
        <w:rPr>
          <w:rFonts w:cs="Arial"/>
          <w:szCs w:val="24"/>
          <w:u w:val="single"/>
        </w:rPr>
        <w:t>BI Emergency Procedure Policy</w:t>
      </w:r>
      <w:r>
        <w:rPr>
          <w:rFonts w:cs="Arial"/>
          <w:szCs w:val="24"/>
        </w:rPr>
        <w:t>.</w:t>
      </w:r>
      <w:r w:rsidR="006F2ED7">
        <w:rPr>
          <w:rFonts w:cs="Arial"/>
          <w:szCs w:val="24"/>
        </w:rPr>
        <w:t xml:space="preserve"> </w:t>
      </w:r>
    </w:p>
    <w:p w14:paraId="26A35DD5" w14:textId="7CCD912D" w:rsidR="006367A7" w:rsidRDefault="006367A7" w:rsidP="006367A7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BI staff will complete a </w:t>
      </w:r>
      <w:r w:rsidRPr="00265CB8">
        <w:rPr>
          <w:rFonts w:cs="Arial"/>
          <w:szCs w:val="24"/>
          <w:u w:val="single"/>
        </w:rPr>
        <w:t>McMaster Incident</w:t>
      </w:r>
      <w:r w:rsidRPr="00776F3F">
        <w:rPr>
          <w:rFonts w:cs="Arial"/>
          <w:szCs w:val="24"/>
          <w:u w:val="single"/>
        </w:rPr>
        <w:t>/injury Report</w:t>
      </w:r>
      <w:r>
        <w:rPr>
          <w:rFonts w:cs="Arial"/>
          <w:szCs w:val="24"/>
        </w:rPr>
        <w:t xml:space="preserve"> co-currently to user incident reports</w:t>
      </w:r>
      <w:r w:rsidR="000B67AB">
        <w:rPr>
          <w:rFonts w:cs="Arial"/>
          <w:szCs w:val="24"/>
        </w:rPr>
        <w:t>. These reports will be reviewed by the BI Director and submitted to EOHSS.</w:t>
      </w:r>
    </w:p>
    <w:p w14:paraId="0054C170" w14:textId="24CA43C1" w:rsidR="000B67AB" w:rsidRPr="006F2ED7" w:rsidRDefault="000B67AB" w:rsidP="000B67AB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Incident/Injury reports</w:t>
      </w:r>
      <w:r>
        <w:rPr>
          <w:rFonts w:cs="Arial"/>
          <w:szCs w:val="24"/>
        </w:rPr>
        <w:t xml:space="preserve"> involving biohazardous materials </w:t>
      </w:r>
      <w:r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ill be forwarded </w:t>
      </w:r>
      <w:r>
        <w:rPr>
          <w:rFonts w:cs="Arial"/>
          <w:szCs w:val="24"/>
        </w:rPr>
        <w:t xml:space="preserve">by EOHSS </w:t>
      </w:r>
      <w:r>
        <w:rPr>
          <w:rFonts w:cs="Arial"/>
          <w:szCs w:val="24"/>
        </w:rPr>
        <w:t>to the Biosafety Office</w:t>
      </w:r>
      <w:r>
        <w:rPr>
          <w:rFonts w:cs="Arial"/>
          <w:szCs w:val="24"/>
        </w:rPr>
        <w:t xml:space="preserve"> and Biosafety Manager, and then submitted to the Presidential Biosafety Advisory Committee (PBAC) for review/discussion. Reports involving RG-2 pathogens or higher will be submitted to</w:t>
      </w:r>
      <w:r w:rsidR="007E07C0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</w:t>
      </w:r>
      <w:r w:rsidR="007E07C0">
        <w:rPr>
          <w:rFonts w:cs="Arial"/>
          <w:szCs w:val="24"/>
        </w:rPr>
        <w:t>Public Health Agency of Canada (</w:t>
      </w:r>
      <w:r>
        <w:rPr>
          <w:rFonts w:cs="Arial"/>
          <w:szCs w:val="24"/>
        </w:rPr>
        <w:t>PHAC</w:t>
      </w:r>
      <w:r w:rsidR="007E07C0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by the Biosafety Office/Manager. Reports will not be submitted to PHAC directly.</w:t>
      </w:r>
    </w:p>
    <w:p w14:paraId="78C22DDA" w14:textId="3060F988" w:rsidR="00B723EB" w:rsidRDefault="00543A34" w:rsidP="009A0C4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Copies</w:t>
      </w:r>
      <w:r w:rsidR="000F725D" w:rsidRPr="00A26898">
        <w:rPr>
          <w:rFonts w:cs="Arial"/>
          <w:szCs w:val="24"/>
        </w:rPr>
        <w:t xml:space="preserve"> of </w:t>
      </w:r>
      <w:r w:rsidR="000F725D">
        <w:rPr>
          <w:rFonts w:cs="Arial"/>
          <w:szCs w:val="24"/>
        </w:rPr>
        <w:t>incident/</w:t>
      </w:r>
      <w:r w:rsidR="000F725D" w:rsidRPr="00A26898">
        <w:rPr>
          <w:rFonts w:cs="Arial"/>
          <w:szCs w:val="24"/>
        </w:rPr>
        <w:t xml:space="preserve">emergency </w:t>
      </w:r>
      <w:r>
        <w:rPr>
          <w:rFonts w:cs="Arial"/>
          <w:szCs w:val="24"/>
        </w:rPr>
        <w:t>reports</w:t>
      </w:r>
      <w:r w:rsidR="000F725D" w:rsidRPr="00A26898">
        <w:rPr>
          <w:rFonts w:cs="Arial"/>
          <w:szCs w:val="24"/>
        </w:rPr>
        <w:t xml:space="preserve"> will </w:t>
      </w:r>
      <w:r w:rsidR="008D7272">
        <w:rPr>
          <w:rFonts w:cs="Arial"/>
          <w:szCs w:val="24"/>
        </w:rPr>
        <w:t>be kept and</w:t>
      </w:r>
      <w:r w:rsidR="000F725D" w:rsidRPr="00A26898">
        <w:rPr>
          <w:rFonts w:cs="Arial"/>
          <w:szCs w:val="24"/>
        </w:rPr>
        <w:t xml:space="preserve"> used for continuing education</w:t>
      </w:r>
      <w:r w:rsidR="000F725D">
        <w:rPr>
          <w:rFonts w:cs="Arial"/>
          <w:szCs w:val="24"/>
        </w:rPr>
        <w:t xml:space="preserve"> and mitigation of future risk</w:t>
      </w:r>
      <w:r w:rsidR="000F725D" w:rsidRPr="00A2689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Refer to the </w:t>
      </w:r>
      <w:r w:rsidRPr="00543A34">
        <w:rPr>
          <w:rFonts w:cs="Arial"/>
          <w:szCs w:val="24"/>
          <w:u w:val="single"/>
        </w:rPr>
        <w:t>BI Documentation Policy</w:t>
      </w:r>
      <w:r>
        <w:rPr>
          <w:rFonts w:cs="Arial"/>
          <w:szCs w:val="24"/>
        </w:rPr>
        <w:t>.</w:t>
      </w:r>
      <w:bookmarkStart w:id="1" w:name="_Toc339871446"/>
      <w:bookmarkStart w:id="2" w:name="_Toc370997427"/>
      <w:bookmarkStart w:id="3" w:name="_Toc370997436"/>
    </w:p>
    <w:p w14:paraId="4C65FF27" w14:textId="109F2F2F" w:rsidR="008B01BE" w:rsidRDefault="008B01BE" w:rsidP="00563EDA">
      <w:pPr>
        <w:pStyle w:val="Heading3"/>
      </w:pPr>
      <w:r w:rsidRPr="00A26898">
        <w:t xml:space="preserve">Emergency </w:t>
      </w:r>
      <w:bookmarkEnd w:id="1"/>
      <w:bookmarkEnd w:id="2"/>
      <w:r w:rsidR="005957DC">
        <w:t>Assistance</w:t>
      </w:r>
      <w:r w:rsidR="00A80529">
        <w:t xml:space="preserve"> Contacts</w:t>
      </w:r>
    </w:p>
    <w:p w14:paraId="00239839" w14:textId="77777777" w:rsidR="006367A7" w:rsidRDefault="006367A7" w:rsidP="006367A7">
      <w:pPr>
        <w:pStyle w:val="ListParagraph"/>
        <w:numPr>
          <w:ilvl w:val="0"/>
          <w:numId w:val="49"/>
        </w:numPr>
        <w:ind w:left="567"/>
        <w:rPr>
          <w:rFonts w:cs="Arial"/>
        </w:rPr>
      </w:pPr>
      <w:r w:rsidRPr="0059527B">
        <w:rPr>
          <w:rFonts w:cs="Arial"/>
        </w:rPr>
        <w:t xml:space="preserve">BI laboratories do not have phones. </w:t>
      </w:r>
    </w:p>
    <w:p w14:paraId="70936360" w14:textId="77777777" w:rsidR="006367A7" w:rsidRDefault="006367A7" w:rsidP="006367A7">
      <w:pPr>
        <w:pStyle w:val="ListParagraph"/>
        <w:numPr>
          <w:ilvl w:val="0"/>
          <w:numId w:val="49"/>
        </w:numPr>
        <w:ind w:left="567"/>
        <w:rPr>
          <w:rFonts w:cs="Arial"/>
        </w:rPr>
      </w:pPr>
      <w:r w:rsidRPr="0059527B">
        <w:rPr>
          <w:rFonts w:cs="Arial"/>
        </w:rPr>
        <w:t>BI users should have relevant emergency numbers pre-programmed into their cell phones</w:t>
      </w:r>
      <w:r>
        <w:rPr>
          <w:rFonts w:cs="Arial"/>
        </w:rPr>
        <w:t>; r</w:t>
      </w:r>
      <w:r w:rsidRPr="0059527B">
        <w:rPr>
          <w:rFonts w:cs="Arial"/>
        </w:rPr>
        <w:t>efer to the “BI Emergency Contacts”</w:t>
      </w:r>
      <w:r>
        <w:rPr>
          <w:rFonts w:cs="Arial"/>
        </w:rPr>
        <w:t xml:space="preserve"> document</w:t>
      </w:r>
      <w:r w:rsidRPr="0059527B">
        <w:rPr>
          <w:rFonts w:cs="Arial"/>
        </w:rPr>
        <w:t>.</w:t>
      </w:r>
      <w:r>
        <w:rPr>
          <w:rFonts w:cs="Arial"/>
        </w:rPr>
        <w:t xml:space="preserve"> </w:t>
      </w:r>
    </w:p>
    <w:p w14:paraId="61583B35" w14:textId="77777777" w:rsidR="006367A7" w:rsidRDefault="006367A7" w:rsidP="006367A7">
      <w:pPr>
        <w:pStyle w:val="ListParagraph"/>
        <w:numPr>
          <w:ilvl w:val="0"/>
          <w:numId w:val="49"/>
        </w:numPr>
        <w:ind w:left="567"/>
        <w:rPr>
          <w:rFonts w:cs="Arial"/>
        </w:rPr>
      </w:pPr>
      <w:r w:rsidRPr="0059527B">
        <w:rPr>
          <w:rFonts w:cs="Arial"/>
        </w:rPr>
        <w:t xml:space="preserve">BI lab door signage includes BI staff extensions and emergency </w:t>
      </w:r>
      <w:r>
        <w:rPr>
          <w:rFonts w:cs="Arial"/>
        </w:rPr>
        <w:t>contact information</w:t>
      </w:r>
      <w:r w:rsidRPr="0059527B">
        <w:rPr>
          <w:rFonts w:cs="Arial"/>
        </w:rPr>
        <w:t xml:space="preserve">. </w:t>
      </w:r>
    </w:p>
    <w:p w14:paraId="10E446AF" w14:textId="77777777" w:rsidR="006367A7" w:rsidRPr="0059527B" w:rsidRDefault="006367A7" w:rsidP="006367A7">
      <w:pPr>
        <w:pStyle w:val="ListParagraph"/>
        <w:numPr>
          <w:ilvl w:val="0"/>
          <w:numId w:val="49"/>
        </w:numPr>
        <w:ind w:left="567"/>
        <w:rPr>
          <w:rFonts w:cs="Arial"/>
        </w:rPr>
      </w:pPr>
      <w:r>
        <w:rPr>
          <w:rFonts w:cs="Arial"/>
        </w:rPr>
        <w:t>BI labs have panic buttons for direct communication with McMaster Security.</w:t>
      </w:r>
    </w:p>
    <w:p w14:paraId="0EA3B52E" w14:textId="77777777" w:rsidR="000F725D" w:rsidRDefault="000F725D" w:rsidP="00563EDA">
      <w:pPr>
        <w:pStyle w:val="Heading3"/>
      </w:pPr>
      <w:r>
        <w:t>Emergency Equipment</w:t>
      </w:r>
    </w:p>
    <w:p w14:paraId="033CDE20" w14:textId="77777777" w:rsidR="006367A7" w:rsidRDefault="006367A7" w:rsidP="006367A7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 w:rsidRPr="0059527B">
        <w:rPr>
          <w:rFonts w:cs="Arial"/>
        </w:rPr>
        <w:t xml:space="preserve">BI emergency equipment includes spill kits, fire pull stations, fire extinguishers, panic buttons, safety showers, and eyewash stations. </w:t>
      </w:r>
    </w:p>
    <w:p w14:paraId="51221F68" w14:textId="77777777" w:rsidR="006367A7" w:rsidRDefault="006367A7" w:rsidP="006367A7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 w:rsidRPr="0059527B">
        <w:rPr>
          <w:rFonts w:cs="Arial"/>
        </w:rPr>
        <w:lastRenderedPageBreak/>
        <w:t xml:space="preserve">BI lab door signage includes emergency equipment locations. </w:t>
      </w:r>
    </w:p>
    <w:p w14:paraId="251BB1F3" w14:textId="77777777" w:rsidR="006367A7" w:rsidRDefault="006367A7" w:rsidP="006367A7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 w:rsidRPr="0059527B">
        <w:rPr>
          <w:rFonts w:cs="Arial"/>
        </w:rPr>
        <w:t xml:space="preserve">BI users should be familiar with the location, </w:t>
      </w:r>
      <w:proofErr w:type="gramStart"/>
      <w:r w:rsidRPr="0059527B">
        <w:rPr>
          <w:rFonts w:cs="Arial"/>
        </w:rPr>
        <w:t>application</w:t>
      </w:r>
      <w:proofErr w:type="gramEnd"/>
      <w:r w:rsidRPr="0059527B">
        <w:rPr>
          <w:rFonts w:cs="Arial"/>
        </w:rPr>
        <w:t xml:space="preserve"> and correct operation of </w:t>
      </w:r>
      <w:r>
        <w:rPr>
          <w:rFonts w:cs="Arial"/>
        </w:rPr>
        <w:t xml:space="preserve">relevant </w:t>
      </w:r>
      <w:r w:rsidRPr="0059527B">
        <w:rPr>
          <w:rFonts w:cs="Arial"/>
        </w:rPr>
        <w:t xml:space="preserve">emergency equipment. </w:t>
      </w:r>
    </w:p>
    <w:p w14:paraId="3286879A" w14:textId="77777777" w:rsidR="006367A7" w:rsidRDefault="006367A7" w:rsidP="006367A7">
      <w:pPr>
        <w:pStyle w:val="ListParagraph"/>
        <w:numPr>
          <w:ilvl w:val="0"/>
          <w:numId w:val="4"/>
        </w:numPr>
        <w:ind w:left="567"/>
        <w:rPr>
          <w:rFonts w:cs="Arial"/>
        </w:rPr>
      </w:pPr>
      <w:r w:rsidRPr="0059527B">
        <w:rPr>
          <w:rFonts w:cs="Arial"/>
        </w:rPr>
        <w:t xml:space="preserve">Refer to the </w:t>
      </w:r>
      <w:r w:rsidRPr="0059527B">
        <w:rPr>
          <w:rFonts w:cs="Arial"/>
          <w:u w:val="single"/>
        </w:rPr>
        <w:t>BI Emergency Equipment Policy</w:t>
      </w:r>
      <w:r w:rsidRPr="0059527B">
        <w:rPr>
          <w:rFonts w:cs="Arial"/>
        </w:rPr>
        <w:t>.</w:t>
      </w:r>
    </w:p>
    <w:p w14:paraId="6E0CEDFE" w14:textId="77777777" w:rsidR="006367A7" w:rsidRDefault="006367A7" w:rsidP="006367A7">
      <w:pPr>
        <w:pStyle w:val="Heading3"/>
      </w:pPr>
      <w:r>
        <w:t>Emergency Responders</w:t>
      </w:r>
    </w:p>
    <w:p w14:paraId="01131B52" w14:textId="77777777" w:rsidR="006367A7" w:rsidRPr="0001757A" w:rsidRDefault="006367A7" w:rsidP="006367A7">
      <w:pPr>
        <w:pStyle w:val="ListParagraph"/>
        <w:numPr>
          <w:ilvl w:val="0"/>
          <w:numId w:val="50"/>
        </w:numPr>
      </w:pPr>
      <w:r>
        <w:t>BI Staff has trained fire wardens and first aid responders.</w:t>
      </w:r>
    </w:p>
    <w:p w14:paraId="62785BAE" w14:textId="77777777" w:rsidR="00CD6FBD" w:rsidRDefault="00CD6FBD" w:rsidP="0064762B">
      <w:pPr>
        <w:pStyle w:val="Heading2"/>
      </w:pPr>
      <w:r>
        <w:t>BI Emergency Procedures</w:t>
      </w:r>
      <w:r w:rsidR="00A37320">
        <w:t xml:space="preserve"> </w:t>
      </w:r>
      <w:r w:rsidR="006F2ED7">
        <w:t>–</w:t>
      </w:r>
      <w:r w:rsidR="00A37320">
        <w:t xml:space="preserve"> Biohazardous</w:t>
      </w:r>
    </w:p>
    <w:p w14:paraId="3E61FFF2" w14:textId="77777777" w:rsidR="006F2ED7" w:rsidRPr="006F2ED7" w:rsidRDefault="006F2ED7" w:rsidP="009A0C48">
      <w:pPr>
        <w:pStyle w:val="ListParagraph"/>
        <w:numPr>
          <w:ilvl w:val="0"/>
          <w:numId w:val="47"/>
        </w:numPr>
        <w:ind w:left="567"/>
      </w:pPr>
      <w:r>
        <w:t>BSC failure procedures will be posted on BSCs.</w:t>
      </w:r>
    </w:p>
    <w:p w14:paraId="50A4C9AB" w14:textId="77777777" w:rsidR="006F2ED7" w:rsidRDefault="006F2ED7" w:rsidP="009A0C48">
      <w:pPr>
        <w:pStyle w:val="ListParagraph"/>
        <w:numPr>
          <w:ilvl w:val="0"/>
          <w:numId w:val="47"/>
        </w:numPr>
        <w:ind w:left="567"/>
      </w:pPr>
      <w:bookmarkStart w:id="4" w:name="_Toc339871461"/>
      <w:bookmarkStart w:id="5" w:name="_Toc370997452"/>
      <w:bookmarkEnd w:id="3"/>
      <w:r>
        <w:t>BI staff will coordinate maintenance and equipment repair as needed.</w:t>
      </w:r>
    </w:p>
    <w:p w14:paraId="5CD98E65" w14:textId="77777777" w:rsidR="003210D3" w:rsidRDefault="00CD6077" w:rsidP="00CD6FBD">
      <w:pPr>
        <w:pStyle w:val="Heading3"/>
      </w:pPr>
      <w:r>
        <w:t>Biological Safety Cabinet (BSC)</w:t>
      </w:r>
      <w:r w:rsidR="003210D3">
        <w:t xml:space="preserve"> Failure Procedure</w:t>
      </w:r>
      <w:r w:rsidR="00A80529">
        <w:t>s</w:t>
      </w:r>
    </w:p>
    <w:p w14:paraId="21389A66" w14:textId="77777777" w:rsidR="003210D3" w:rsidRDefault="003210D3" w:rsidP="009A0C48">
      <w:pPr>
        <w:pStyle w:val="ListParagraph"/>
        <w:numPr>
          <w:ilvl w:val="0"/>
          <w:numId w:val="40"/>
        </w:numPr>
        <w:ind w:left="567"/>
      </w:pPr>
      <w:r>
        <w:t>Stop working immediately.</w:t>
      </w:r>
    </w:p>
    <w:p w14:paraId="13880F80" w14:textId="77777777" w:rsidR="008A51EC" w:rsidRPr="00A26898" w:rsidRDefault="008A51EC" w:rsidP="009A0C4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If it is safe to do so, stop experiment and secure biohazard</w:t>
      </w:r>
      <w:r w:rsidR="00543A34">
        <w:rPr>
          <w:rFonts w:cs="Arial"/>
          <w:szCs w:val="24"/>
        </w:rPr>
        <w:t>ous material(s).</w:t>
      </w:r>
    </w:p>
    <w:p w14:paraId="65C7702C" w14:textId="77777777" w:rsidR="003210D3" w:rsidRDefault="003210D3" w:rsidP="009A0C48">
      <w:pPr>
        <w:pStyle w:val="ListParagraph"/>
        <w:numPr>
          <w:ilvl w:val="0"/>
          <w:numId w:val="40"/>
        </w:numPr>
        <w:ind w:left="567"/>
      </w:pPr>
      <w:r>
        <w:t>Close</w:t>
      </w:r>
      <w:r w:rsidR="00543A34">
        <w:t xml:space="preserve"> BSC</w:t>
      </w:r>
      <w:r>
        <w:t xml:space="preserve"> sash completely.</w:t>
      </w:r>
    </w:p>
    <w:p w14:paraId="2F273D8C" w14:textId="77777777" w:rsidR="003210D3" w:rsidRPr="00A26898" w:rsidRDefault="003210D3" w:rsidP="009A0C4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Remove PPE, dispose of in </w:t>
      </w:r>
      <w:r w:rsidR="008D7272">
        <w:rPr>
          <w:rFonts w:cs="Arial"/>
          <w:szCs w:val="24"/>
        </w:rPr>
        <w:t>solid</w:t>
      </w:r>
      <w:r w:rsidRPr="00A26898">
        <w:rPr>
          <w:rFonts w:cs="Arial"/>
          <w:szCs w:val="24"/>
        </w:rPr>
        <w:t xml:space="preserve"> </w:t>
      </w:r>
      <w:r w:rsidR="00543A34">
        <w:rPr>
          <w:rFonts w:cs="Arial"/>
          <w:szCs w:val="24"/>
        </w:rPr>
        <w:t xml:space="preserve">biohazardous </w:t>
      </w:r>
      <w:r w:rsidRPr="00A26898">
        <w:rPr>
          <w:rFonts w:cs="Arial"/>
          <w:szCs w:val="24"/>
        </w:rPr>
        <w:t>waste.</w:t>
      </w:r>
    </w:p>
    <w:p w14:paraId="0F70FD7A" w14:textId="77777777" w:rsidR="003210D3" w:rsidRDefault="003210D3" w:rsidP="009A0C4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Wash hands thoroughly. </w:t>
      </w:r>
    </w:p>
    <w:p w14:paraId="7CB8EE15" w14:textId="77777777" w:rsidR="003210D3" w:rsidRDefault="003210D3" w:rsidP="009A0C48">
      <w:pPr>
        <w:pStyle w:val="ListParagraph"/>
        <w:numPr>
          <w:ilvl w:val="0"/>
          <w:numId w:val="40"/>
        </w:numPr>
        <w:ind w:left="567"/>
      </w:pPr>
      <w:r>
        <w:t>Repor</w:t>
      </w:r>
      <w:r w:rsidR="00D17E11">
        <w:t xml:space="preserve">t </w:t>
      </w:r>
      <w:r w:rsidR="00543A34">
        <w:t>BSC</w:t>
      </w:r>
      <w:r w:rsidR="00CD6077">
        <w:t xml:space="preserve"> failure to BI staff</w:t>
      </w:r>
      <w:r w:rsidR="00543A34" w:rsidRPr="00543A34">
        <w:t xml:space="preserve"> </w:t>
      </w:r>
      <w:r w:rsidR="00543A34">
        <w:t>immediately</w:t>
      </w:r>
      <w:r w:rsidR="00CD6077">
        <w:t>.</w:t>
      </w:r>
    </w:p>
    <w:p w14:paraId="5D92A7BE" w14:textId="77777777" w:rsidR="006F2ED7" w:rsidRPr="00A26898" w:rsidRDefault="006F2ED7" w:rsidP="009A0C4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bookmarkStart w:id="6" w:name="_Toc339871460"/>
      <w:bookmarkStart w:id="7" w:name="_Toc370997451"/>
      <w:bookmarkEnd w:id="4"/>
      <w:bookmarkEnd w:id="5"/>
      <w:r>
        <w:rPr>
          <w:rFonts w:cs="Arial"/>
          <w:szCs w:val="24"/>
        </w:rPr>
        <w:t>Post signage on BSC indicating BSC failure.</w:t>
      </w:r>
    </w:p>
    <w:p w14:paraId="5E3A17A3" w14:textId="77777777" w:rsidR="00D17E11" w:rsidRPr="00A26898" w:rsidRDefault="00D17E11" w:rsidP="00161E09">
      <w:pPr>
        <w:pStyle w:val="Heading3"/>
        <w:tabs>
          <w:tab w:val="left" w:pos="851"/>
        </w:tabs>
        <w:ind w:left="851" w:hanging="851"/>
      </w:pPr>
      <w:r w:rsidRPr="00A26898">
        <w:t>Accidental Biohazard Exposure</w:t>
      </w:r>
      <w:bookmarkEnd w:id="6"/>
      <w:r>
        <w:t xml:space="preserve"> Procedure</w:t>
      </w:r>
      <w:bookmarkEnd w:id="7"/>
      <w:r w:rsidR="00A80529">
        <w:t>s</w:t>
      </w:r>
      <w:r w:rsidR="00543A34">
        <w:t xml:space="preserve"> - Absorption</w:t>
      </w:r>
    </w:p>
    <w:p w14:paraId="75A9AC77" w14:textId="77777777" w:rsidR="00D17E11" w:rsidRPr="00A26898" w:rsidRDefault="00D17E11" w:rsidP="009A0C48">
      <w:pPr>
        <w:pStyle w:val="ListParagraph"/>
        <w:numPr>
          <w:ilvl w:val="0"/>
          <w:numId w:val="43"/>
        </w:numPr>
        <w:ind w:left="567"/>
      </w:pPr>
      <w:r w:rsidRPr="00A26898">
        <w:t>Stop work immediately.</w:t>
      </w:r>
    </w:p>
    <w:p w14:paraId="094A52C9" w14:textId="77777777" w:rsidR="00D17E11" w:rsidRPr="00A26898" w:rsidRDefault="00D17E11" w:rsidP="009A0C48">
      <w:pPr>
        <w:pStyle w:val="ListParagraph"/>
        <w:numPr>
          <w:ilvl w:val="0"/>
          <w:numId w:val="43"/>
        </w:numPr>
        <w:ind w:left="567"/>
      </w:pPr>
      <w:r w:rsidRPr="00A26898">
        <w:t>Decontaminate oneself by rinsing with plenty of water (via emergency shower or eye wash station if necessary), and then if necessary, wash with soap and water.</w:t>
      </w:r>
    </w:p>
    <w:p w14:paraId="03569EBF" w14:textId="77777777" w:rsidR="00543A34" w:rsidRDefault="00543A34" w:rsidP="009A0C48">
      <w:pPr>
        <w:pStyle w:val="ListParagraph"/>
        <w:numPr>
          <w:ilvl w:val="0"/>
          <w:numId w:val="43"/>
        </w:numPr>
        <w:ind w:left="567"/>
      </w:pPr>
      <w:r>
        <w:t xml:space="preserve">Inform supervisor. Consult BI staff. </w:t>
      </w:r>
    </w:p>
    <w:p w14:paraId="2D14C1EE" w14:textId="77777777" w:rsidR="00543A34" w:rsidRPr="006E3522" w:rsidRDefault="00543A34" w:rsidP="009A0C48">
      <w:pPr>
        <w:pStyle w:val="ListParagraph"/>
        <w:numPr>
          <w:ilvl w:val="0"/>
          <w:numId w:val="43"/>
        </w:numPr>
        <w:ind w:left="567"/>
      </w:pPr>
      <w:r>
        <w:t>Complete an i</w:t>
      </w:r>
      <w:r w:rsidRPr="006E3522">
        <w:t>ncident/</w:t>
      </w:r>
      <w:r>
        <w:t>injury r</w:t>
      </w:r>
      <w:r w:rsidRPr="006E3522">
        <w:t>eport, with SDS attached. Provide a copy to BI staff.</w:t>
      </w:r>
    </w:p>
    <w:p w14:paraId="10609850" w14:textId="77777777" w:rsidR="00825E9D" w:rsidRPr="00A26898" w:rsidRDefault="00825E9D" w:rsidP="009A0C48">
      <w:pPr>
        <w:pStyle w:val="ListParagraph"/>
        <w:numPr>
          <w:ilvl w:val="0"/>
          <w:numId w:val="43"/>
        </w:numPr>
        <w:ind w:left="567"/>
      </w:pPr>
      <w:r>
        <w:t>Seek professional medical assistance if necessary.</w:t>
      </w:r>
    </w:p>
    <w:p w14:paraId="64BFE829" w14:textId="77777777" w:rsidR="00543A34" w:rsidRPr="00A26898" w:rsidRDefault="00543A34" w:rsidP="00543A34">
      <w:pPr>
        <w:pStyle w:val="Heading3"/>
        <w:tabs>
          <w:tab w:val="left" w:pos="851"/>
        </w:tabs>
        <w:ind w:left="851" w:hanging="851"/>
      </w:pPr>
      <w:r w:rsidRPr="00A26898">
        <w:t>Accidental Biohazard Exposure</w:t>
      </w:r>
      <w:r>
        <w:t xml:space="preserve"> Procedures - Inhalation</w:t>
      </w:r>
    </w:p>
    <w:p w14:paraId="313A6874" w14:textId="77777777" w:rsidR="00D17E11" w:rsidRPr="00A26898" w:rsidRDefault="00D17E11" w:rsidP="009A0C48">
      <w:pPr>
        <w:pStyle w:val="ListParagraph"/>
        <w:numPr>
          <w:ilvl w:val="0"/>
          <w:numId w:val="44"/>
        </w:numPr>
        <w:ind w:left="567"/>
      </w:pPr>
      <w:r w:rsidRPr="00A26898">
        <w:t>Stop work immediately.</w:t>
      </w:r>
    </w:p>
    <w:p w14:paraId="28C5F1C6" w14:textId="77777777" w:rsidR="00D17E11" w:rsidRPr="00A26898" w:rsidRDefault="00D17E11" w:rsidP="009A0C48">
      <w:pPr>
        <w:pStyle w:val="ListParagraph"/>
        <w:numPr>
          <w:ilvl w:val="0"/>
          <w:numId w:val="44"/>
        </w:numPr>
        <w:ind w:left="567"/>
      </w:pPr>
      <w:r w:rsidRPr="00A26898">
        <w:t>Seek fresh air and rest. Seek artificial respiration, if necessary.</w:t>
      </w:r>
    </w:p>
    <w:p w14:paraId="4CD90548" w14:textId="77777777" w:rsidR="00543A34" w:rsidRDefault="00543A34" w:rsidP="009A0C48">
      <w:pPr>
        <w:pStyle w:val="ListParagraph"/>
        <w:numPr>
          <w:ilvl w:val="0"/>
          <w:numId w:val="44"/>
        </w:numPr>
        <w:ind w:left="567"/>
      </w:pPr>
      <w:r>
        <w:t xml:space="preserve">Inform supervisor. Consult BI staff. </w:t>
      </w:r>
    </w:p>
    <w:p w14:paraId="3CAC7884" w14:textId="77777777" w:rsidR="00543A34" w:rsidRPr="006E3522" w:rsidRDefault="00543A34" w:rsidP="009A0C48">
      <w:pPr>
        <w:pStyle w:val="ListParagraph"/>
        <w:numPr>
          <w:ilvl w:val="0"/>
          <w:numId w:val="44"/>
        </w:numPr>
        <w:ind w:left="567"/>
      </w:pPr>
      <w:r>
        <w:t>Complete an i</w:t>
      </w:r>
      <w:r w:rsidRPr="006E3522">
        <w:t>ncident/</w:t>
      </w:r>
      <w:r>
        <w:t>injury r</w:t>
      </w:r>
      <w:r w:rsidRPr="006E3522">
        <w:t>eport, with SDS attached. Provide a copy to BI staff.</w:t>
      </w:r>
    </w:p>
    <w:p w14:paraId="3F98463B" w14:textId="77777777" w:rsidR="00543A34" w:rsidRPr="00A26898" w:rsidRDefault="00543A34" w:rsidP="009A0C48">
      <w:pPr>
        <w:pStyle w:val="ListParagraph"/>
        <w:numPr>
          <w:ilvl w:val="0"/>
          <w:numId w:val="44"/>
        </w:numPr>
        <w:ind w:left="567"/>
      </w:pPr>
      <w:r>
        <w:t>Seek professional medical assistance if necessary.</w:t>
      </w:r>
    </w:p>
    <w:p w14:paraId="4FCB1CF3" w14:textId="77777777" w:rsidR="00D17E11" w:rsidRDefault="00D17E11" w:rsidP="00D17E11">
      <w:pPr>
        <w:pStyle w:val="Heading3"/>
        <w:ind w:left="851" w:hanging="851"/>
      </w:pPr>
      <w:r>
        <w:t>Biohazard Loss of Containment</w:t>
      </w:r>
    </w:p>
    <w:p w14:paraId="3E22761C" w14:textId="77777777" w:rsidR="00543A34" w:rsidRDefault="00543A34" w:rsidP="009A0C48">
      <w:pPr>
        <w:pStyle w:val="ListParagraph"/>
        <w:numPr>
          <w:ilvl w:val="0"/>
          <w:numId w:val="46"/>
        </w:numPr>
        <w:ind w:left="567"/>
      </w:pPr>
      <w:r>
        <w:t>If necessary, follow “</w:t>
      </w:r>
      <w:r w:rsidRPr="00543A34">
        <w:t>Accidental Biohazard Exposure Procedure</w:t>
      </w:r>
      <w:r>
        <w:t>”.</w:t>
      </w:r>
    </w:p>
    <w:p w14:paraId="4B19F639" w14:textId="77777777" w:rsidR="00543A34" w:rsidRDefault="00543A34" w:rsidP="009A0C48">
      <w:pPr>
        <w:pStyle w:val="ListParagraph"/>
        <w:numPr>
          <w:ilvl w:val="0"/>
          <w:numId w:val="46"/>
        </w:numPr>
        <w:ind w:left="567"/>
      </w:pPr>
      <w:r>
        <w:t>If needed, f</w:t>
      </w:r>
      <w:r w:rsidRPr="00543A34">
        <w:t xml:space="preserve">ollow procedures </w:t>
      </w:r>
      <w:r>
        <w:t>outlined in</w:t>
      </w:r>
      <w:r w:rsidRPr="00543A34">
        <w:t xml:space="preserve"> the</w:t>
      </w:r>
      <w:r>
        <w:t xml:space="preserve"> </w:t>
      </w:r>
      <w:r w:rsidRPr="00543A34">
        <w:rPr>
          <w:u w:val="single"/>
        </w:rPr>
        <w:t>BI Spill Policy – Biohazardous</w:t>
      </w:r>
      <w:r>
        <w:rPr>
          <w:u w:val="single"/>
        </w:rPr>
        <w:t xml:space="preserve"> Spills</w:t>
      </w:r>
      <w:r>
        <w:t>.</w:t>
      </w:r>
    </w:p>
    <w:p w14:paraId="3E07D1AF" w14:textId="77777777" w:rsidR="00A81F5E" w:rsidRDefault="00D92C59" w:rsidP="009A0C48">
      <w:pPr>
        <w:pStyle w:val="ListParagraph"/>
        <w:numPr>
          <w:ilvl w:val="0"/>
          <w:numId w:val="46"/>
        </w:numPr>
        <w:ind w:left="567"/>
      </w:pPr>
      <w:r>
        <w:t>I</w:t>
      </w:r>
      <w:r w:rsidR="00A81F5E">
        <w:t>nform BI staff immediately.</w:t>
      </w:r>
    </w:p>
    <w:p w14:paraId="1FECB14C" w14:textId="15288E72" w:rsidR="00DE569A" w:rsidRPr="00DE569A" w:rsidRDefault="00563EDA" w:rsidP="009A0C48">
      <w:pPr>
        <w:pStyle w:val="ListParagraph"/>
        <w:numPr>
          <w:ilvl w:val="0"/>
          <w:numId w:val="46"/>
        </w:numPr>
        <w:ind w:left="567"/>
      </w:pPr>
      <w:r>
        <w:t>Complete an i</w:t>
      </w:r>
      <w:r w:rsidRPr="006E3522">
        <w:t>ncident/</w:t>
      </w:r>
      <w:r>
        <w:t>injury r</w:t>
      </w:r>
      <w:r w:rsidRPr="006E3522">
        <w:t>eport, with SDS attached. Provide a copy to BI staff.</w:t>
      </w:r>
      <w:r>
        <w:t xml:space="preserve"> BI staff will record as </w:t>
      </w:r>
      <w:r w:rsidR="006F2ED7">
        <w:t xml:space="preserve">a </w:t>
      </w:r>
      <w:r w:rsidR="006F2ED7" w:rsidRPr="00563EDA">
        <w:rPr>
          <w:u w:val="single"/>
        </w:rPr>
        <w:t>BI Biosecurity Incident</w:t>
      </w:r>
      <w:r w:rsidR="00DE569A">
        <w:t xml:space="preserve">, as per the </w:t>
      </w:r>
      <w:r w:rsidR="00DE569A" w:rsidRPr="00563EDA">
        <w:rPr>
          <w:u w:val="single"/>
        </w:rPr>
        <w:t>BI Biosecurity Policy</w:t>
      </w:r>
      <w:r w:rsidR="00DE569A">
        <w:t>.</w:t>
      </w:r>
      <w:r>
        <w:t xml:space="preserve"> </w:t>
      </w:r>
      <w:r w:rsidR="00A81F5E">
        <w:t>Involved parties will</w:t>
      </w:r>
      <w:r w:rsidR="00DE569A">
        <w:t xml:space="preserve"> determine critical factors, and preventative measures</w:t>
      </w:r>
      <w:r w:rsidR="00543A34">
        <w:t xml:space="preserve"> to avoid </w:t>
      </w:r>
      <w:r w:rsidR="00A81F5E">
        <w:t>future occurrences</w:t>
      </w:r>
      <w:r w:rsidR="00DE569A">
        <w:t>.</w:t>
      </w:r>
    </w:p>
    <w:p w14:paraId="565A6788" w14:textId="77777777" w:rsidR="008B27DE" w:rsidRDefault="008B27DE" w:rsidP="008B27DE">
      <w:pPr>
        <w:pStyle w:val="Heading2"/>
      </w:pPr>
      <w:r>
        <w:lastRenderedPageBreak/>
        <w:t>Emergency Forms</w:t>
      </w:r>
    </w:p>
    <w:p w14:paraId="6542ABB7" w14:textId="77777777" w:rsidR="006F2ED7" w:rsidRDefault="006F2ED7" w:rsidP="009A0C48">
      <w:pPr>
        <w:pStyle w:val="ListParagraph"/>
        <w:numPr>
          <w:ilvl w:val="0"/>
          <w:numId w:val="19"/>
        </w:numPr>
        <w:ind w:left="567"/>
      </w:pPr>
      <w:r>
        <w:t>BSC Failure Poster.</w:t>
      </w:r>
    </w:p>
    <w:sectPr w:rsidR="006F2ED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73EC" w14:textId="77777777" w:rsidR="003F1CB9" w:rsidRDefault="003F1CB9" w:rsidP="00696DF8">
      <w:r>
        <w:separator/>
      </w:r>
    </w:p>
  </w:endnote>
  <w:endnote w:type="continuationSeparator" w:id="0">
    <w:p w14:paraId="4F00E3EE" w14:textId="77777777" w:rsidR="003F1CB9" w:rsidRDefault="003F1CB9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57E777" w14:textId="1DBF3A0D" w:rsidR="00A81F5E" w:rsidRDefault="00A81F5E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EAF72" wp14:editId="544D9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B28D7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FF3245">
              <w:t>Policy</w:t>
            </w:r>
            <w:r w:rsidR="00051C32">
              <w:t>ID</w:t>
            </w:r>
            <w:proofErr w:type="spellEnd"/>
            <w:r>
              <w:t>:</w:t>
            </w:r>
            <w:r w:rsidR="00051C32">
              <w:t xml:space="preserve"> </w:t>
            </w:r>
            <w:proofErr w:type="spellStart"/>
            <w:r>
              <w:t>Emer</w:t>
            </w:r>
            <w:r w:rsidR="00E45AB9">
              <w:t>g</w:t>
            </w:r>
            <w:r w:rsidR="00051C32">
              <w:t>Proc</w:t>
            </w:r>
            <w:r w:rsidR="00A37320">
              <w:t>Bio</w:t>
            </w:r>
            <w:proofErr w:type="spellEnd"/>
            <w:r>
              <w:tab/>
            </w:r>
            <w:r w:rsidR="00E45AB9">
              <w:t>Jan</w:t>
            </w:r>
            <w:r>
              <w:t xml:space="preserve">. </w:t>
            </w:r>
            <w:r w:rsidR="00573C46">
              <w:t>20</w:t>
            </w:r>
            <w:r w:rsidR="00B720BB">
              <w:t>21</w:t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15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15B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578038" w14:textId="77777777" w:rsidR="00A81F5E" w:rsidRDefault="00A81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830E" w14:textId="77777777" w:rsidR="003F1CB9" w:rsidRDefault="003F1CB9" w:rsidP="00696DF8">
      <w:r>
        <w:separator/>
      </w:r>
    </w:p>
  </w:footnote>
  <w:footnote w:type="continuationSeparator" w:id="0">
    <w:p w14:paraId="64EB6EA1" w14:textId="77777777" w:rsidR="003F1CB9" w:rsidRDefault="003F1CB9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3824" w14:textId="77777777" w:rsidR="00A81F5E" w:rsidRDefault="00A81F5E">
    <w:pPr>
      <w:pStyle w:val="Header"/>
    </w:pPr>
    <w:r>
      <w:rPr>
        <w:noProof/>
        <w:lang w:eastAsia="en-CA"/>
      </w:rPr>
      <w:drawing>
        <wp:inline distT="0" distB="0" distL="0" distR="0" wp14:anchorId="333F3800" wp14:editId="1B541718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0406A4F3" wp14:editId="0DF2BEB8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3A921" w14:textId="77777777" w:rsidR="00A81F5E" w:rsidRDefault="00A81F5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B546A" wp14:editId="6032297E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8FF23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170C079F" w14:textId="77777777" w:rsidR="00A81F5E" w:rsidRDefault="00A81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8755C5"/>
    <w:multiLevelType w:val="hybridMultilevel"/>
    <w:tmpl w:val="577E0D8C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E37CEE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122274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4311F"/>
    <w:multiLevelType w:val="hybridMultilevel"/>
    <w:tmpl w:val="637E5D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574FB8"/>
    <w:multiLevelType w:val="hybridMultilevel"/>
    <w:tmpl w:val="59C67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5FA8"/>
    <w:multiLevelType w:val="hybridMultilevel"/>
    <w:tmpl w:val="FCBC692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214D9B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8492F"/>
    <w:multiLevelType w:val="multilevel"/>
    <w:tmpl w:val="870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87CDD"/>
    <w:multiLevelType w:val="hybridMultilevel"/>
    <w:tmpl w:val="AE58EF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27B7E"/>
    <w:multiLevelType w:val="hybridMultilevel"/>
    <w:tmpl w:val="6C8E07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7459"/>
    <w:multiLevelType w:val="hybridMultilevel"/>
    <w:tmpl w:val="BFB28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646D0"/>
    <w:multiLevelType w:val="hybridMultilevel"/>
    <w:tmpl w:val="F424C5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993797"/>
    <w:multiLevelType w:val="hybridMultilevel"/>
    <w:tmpl w:val="CFA0D9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3043E"/>
    <w:multiLevelType w:val="hybridMultilevel"/>
    <w:tmpl w:val="E8BE710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4BCC"/>
    <w:multiLevelType w:val="hybridMultilevel"/>
    <w:tmpl w:val="10FC0F44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5B70A72"/>
    <w:multiLevelType w:val="hybridMultilevel"/>
    <w:tmpl w:val="C0A8655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202AC2"/>
    <w:multiLevelType w:val="hybridMultilevel"/>
    <w:tmpl w:val="781414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3E0D"/>
    <w:multiLevelType w:val="multilevel"/>
    <w:tmpl w:val="623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769CA"/>
    <w:multiLevelType w:val="hybridMultilevel"/>
    <w:tmpl w:val="54720E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51C3FF0"/>
    <w:multiLevelType w:val="hybridMultilevel"/>
    <w:tmpl w:val="20BAFAB6"/>
    <w:lvl w:ilvl="0" w:tplc="1009001B">
      <w:start w:val="1"/>
      <w:numFmt w:val="lowerRoman"/>
      <w:lvlText w:val="%1."/>
      <w:lvlJc w:val="right"/>
      <w:pPr>
        <w:ind w:left="1418" w:hanging="360"/>
      </w:pPr>
    </w:lvl>
    <w:lvl w:ilvl="1" w:tplc="10090019" w:tentative="1">
      <w:start w:val="1"/>
      <w:numFmt w:val="lowerLetter"/>
      <w:lvlText w:val="%2."/>
      <w:lvlJc w:val="left"/>
      <w:pPr>
        <w:ind w:left="2138" w:hanging="360"/>
      </w:pPr>
    </w:lvl>
    <w:lvl w:ilvl="2" w:tplc="1009001B" w:tentative="1">
      <w:start w:val="1"/>
      <w:numFmt w:val="lowerRoman"/>
      <w:lvlText w:val="%3."/>
      <w:lvlJc w:val="right"/>
      <w:pPr>
        <w:ind w:left="2858" w:hanging="180"/>
      </w:pPr>
    </w:lvl>
    <w:lvl w:ilvl="3" w:tplc="1009000F" w:tentative="1">
      <w:start w:val="1"/>
      <w:numFmt w:val="decimal"/>
      <w:lvlText w:val="%4."/>
      <w:lvlJc w:val="left"/>
      <w:pPr>
        <w:ind w:left="3578" w:hanging="360"/>
      </w:pPr>
    </w:lvl>
    <w:lvl w:ilvl="4" w:tplc="10090019" w:tentative="1">
      <w:start w:val="1"/>
      <w:numFmt w:val="lowerLetter"/>
      <w:lvlText w:val="%5."/>
      <w:lvlJc w:val="left"/>
      <w:pPr>
        <w:ind w:left="4298" w:hanging="360"/>
      </w:pPr>
    </w:lvl>
    <w:lvl w:ilvl="5" w:tplc="1009001B" w:tentative="1">
      <w:start w:val="1"/>
      <w:numFmt w:val="lowerRoman"/>
      <w:lvlText w:val="%6."/>
      <w:lvlJc w:val="right"/>
      <w:pPr>
        <w:ind w:left="5018" w:hanging="180"/>
      </w:pPr>
    </w:lvl>
    <w:lvl w:ilvl="6" w:tplc="1009000F" w:tentative="1">
      <w:start w:val="1"/>
      <w:numFmt w:val="decimal"/>
      <w:lvlText w:val="%7."/>
      <w:lvlJc w:val="left"/>
      <w:pPr>
        <w:ind w:left="5738" w:hanging="360"/>
      </w:pPr>
    </w:lvl>
    <w:lvl w:ilvl="7" w:tplc="10090019" w:tentative="1">
      <w:start w:val="1"/>
      <w:numFmt w:val="lowerLetter"/>
      <w:lvlText w:val="%8."/>
      <w:lvlJc w:val="left"/>
      <w:pPr>
        <w:ind w:left="6458" w:hanging="360"/>
      </w:pPr>
    </w:lvl>
    <w:lvl w:ilvl="8" w:tplc="10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1" w15:restartNumberingAfterBreak="0">
    <w:nsid w:val="3EE7712F"/>
    <w:multiLevelType w:val="hybridMultilevel"/>
    <w:tmpl w:val="CE6CA2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FFC57B7"/>
    <w:multiLevelType w:val="hybridMultilevel"/>
    <w:tmpl w:val="30DE3F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212587"/>
    <w:multiLevelType w:val="hybridMultilevel"/>
    <w:tmpl w:val="A6D0270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F7C37"/>
    <w:multiLevelType w:val="hybridMultilevel"/>
    <w:tmpl w:val="BFB28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16B8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365473"/>
    <w:multiLevelType w:val="hybridMultilevel"/>
    <w:tmpl w:val="EA4616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F31AB"/>
    <w:multiLevelType w:val="hybridMultilevel"/>
    <w:tmpl w:val="7994C012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7406E"/>
    <w:multiLevelType w:val="hybridMultilevel"/>
    <w:tmpl w:val="7E5E756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676E4"/>
    <w:multiLevelType w:val="hybridMultilevel"/>
    <w:tmpl w:val="9AA8C4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47995"/>
    <w:multiLevelType w:val="hybridMultilevel"/>
    <w:tmpl w:val="50A89FB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37D8"/>
    <w:multiLevelType w:val="hybridMultilevel"/>
    <w:tmpl w:val="0FF8F5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8DD4C43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9C05BF"/>
    <w:multiLevelType w:val="hybridMultilevel"/>
    <w:tmpl w:val="906E71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00D1271"/>
    <w:multiLevelType w:val="hybridMultilevel"/>
    <w:tmpl w:val="DA7432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2441FD"/>
    <w:multiLevelType w:val="hybridMultilevel"/>
    <w:tmpl w:val="E024505A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E12510"/>
    <w:multiLevelType w:val="hybridMultilevel"/>
    <w:tmpl w:val="E38CFF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B22D0"/>
    <w:multiLevelType w:val="hybridMultilevel"/>
    <w:tmpl w:val="97786D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39" w15:restartNumberingAfterBreak="0">
    <w:nsid w:val="6DD550F3"/>
    <w:multiLevelType w:val="hybridMultilevel"/>
    <w:tmpl w:val="6CF8C6A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A0772"/>
    <w:multiLevelType w:val="hybridMultilevel"/>
    <w:tmpl w:val="BFA6E0C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B57C3"/>
    <w:multiLevelType w:val="hybridMultilevel"/>
    <w:tmpl w:val="468E19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4DC707F"/>
    <w:multiLevelType w:val="hybridMultilevel"/>
    <w:tmpl w:val="309889D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D6BC8"/>
    <w:multiLevelType w:val="multilevel"/>
    <w:tmpl w:val="528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123CA"/>
    <w:multiLevelType w:val="hybridMultilevel"/>
    <w:tmpl w:val="B26A44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2414D4"/>
    <w:multiLevelType w:val="hybridMultilevel"/>
    <w:tmpl w:val="4288EF8A"/>
    <w:lvl w:ilvl="0" w:tplc="91B0A5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125D1A"/>
    <w:multiLevelType w:val="hybridMultilevel"/>
    <w:tmpl w:val="F3AE22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87B75"/>
    <w:multiLevelType w:val="hybridMultilevel"/>
    <w:tmpl w:val="AB7C4132"/>
    <w:lvl w:ilvl="0" w:tplc="4060F9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4B2C"/>
    <w:multiLevelType w:val="hybridMultilevel"/>
    <w:tmpl w:val="328481F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329B8"/>
    <w:multiLevelType w:val="hybridMultilevel"/>
    <w:tmpl w:val="30DE3F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0"/>
  </w:num>
  <w:num w:numId="3">
    <w:abstractNumId w:val="45"/>
  </w:num>
  <w:num w:numId="4">
    <w:abstractNumId w:val="37"/>
  </w:num>
  <w:num w:numId="5">
    <w:abstractNumId w:val="4"/>
  </w:num>
  <w:num w:numId="6">
    <w:abstractNumId w:val="32"/>
  </w:num>
  <w:num w:numId="7">
    <w:abstractNumId w:val="40"/>
  </w:num>
  <w:num w:numId="8">
    <w:abstractNumId w:val="23"/>
  </w:num>
  <w:num w:numId="9">
    <w:abstractNumId w:val="19"/>
  </w:num>
  <w:num w:numId="10">
    <w:abstractNumId w:val="47"/>
  </w:num>
  <w:num w:numId="11">
    <w:abstractNumId w:val="12"/>
  </w:num>
  <w:num w:numId="12">
    <w:abstractNumId w:val="35"/>
  </w:num>
  <w:num w:numId="13">
    <w:abstractNumId w:val="27"/>
  </w:num>
  <w:num w:numId="14">
    <w:abstractNumId w:val="1"/>
  </w:num>
  <w:num w:numId="15">
    <w:abstractNumId w:val="7"/>
  </w:num>
  <w:num w:numId="16">
    <w:abstractNumId w:val="15"/>
  </w:num>
  <w:num w:numId="17">
    <w:abstractNumId w:val="41"/>
  </w:num>
  <w:num w:numId="18">
    <w:abstractNumId w:val="34"/>
  </w:num>
  <w:num w:numId="19">
    <w:abstractNumId w:val="25"/>
  </w:num>
  <w:num w:numId="20">
    <w:abstractNumId w:val="5"/>
  </w:num>
  <w:num w:numId="21">
    <w:abstractNumId w:val="31"/>
  </w:num>
  <w:num w:numId="22">
    <w:abstractNumId w:val="10"/>
  </w:num>
  <w:num w:numId="23">
    <w:abstractNumId w:val="11"/>
  </w:num>
  <w:num w:numId="24">
    <w:abstractNumId w:val="29"/>
  </w:num>
  <w:num w:numId="25">
    <w:abstractNumId w:val="24"/>
  </w:num>
  <w:num w:numId="26">
    <w:abstractNumId w:val="3"/>
  </w:num>
  <w:num w:numId="27">
    <w:abstractNumId w:val="43"/>
  </w:num>
  <w:num w:numId="28">
    <w:abstractNumId w:val="18"/>
  </w:num>
  <w:num w:numId="29">
    <w:abstractNumId w:val="8"/>
  </w:num>
  <w:num w:numId="30">
    <w:abstractNumId w:val="49"/>
  </w:num>
  <w:num w:numId="31">
    <w:abstractNumId w:val="6"/>
  </w:num>
  <w:num w:numId="32">
    <w:abstractNumId w:val="42"/>
  </w:num>
  <w:num w:numId="33">
    <w:abstractNumId w:val="48"/>
  </w:num>
  <w:num w:numId="34">
    <w:abstractNumId w:val="20"/>
  </w:num>
  <w:num w:numId="35">
    <w:abstractNumId w:val="2"/>
  </w:num>
  <w:num w:numId="36">
    <w:abstractNumId w:val="26"/>
  </w:num>
  <w:num w:numId="37">
    <w:abstractNumId w:val="14"/>
  </w:num>
  <w:num w:numId="38">
    <w:abstractNumId w:val="44"/>
  </w:num>
  <w:num w:numId="39">
    <w:abstractNumId w:val="22"/>
  </w:num>
  <w:num w:numId="40">
    <w:abstractNumId w:val="9"/>
  </w:num>
  <w:num w:numId="41">
    <w:abstractNumId w:val="16"/>
  </w:num>
  <w:num w:numId="42">
    <w:abstractNumId w:val="21"/>
  </w:num>
  <w:num w:numId="43">
    <w:abstractNumId w:val="30"/>
  </w:num>
  <w:num w:numId="44">
    <w:abstractNumId w:val="39"/>
  </w:num>
  <w:num w:numId="45">
    <w:abstractNumId w:val="13"/>
  </w:num>
  <w:num w:numId="46">
    <w:abstractNumId w:val="46"/>
  </w:num>
  <w:num w:numId="47">
    <w:abstractNumId w:val="17"/>
  </w:num>
  <w:num w:numId="48">
    <w:abstractNumId w:val="36"/>
  </w:num>
  <w:num w:numId="49">
    <w:abstractNumId w:val="33"/>
  </w:num>
  <w:num w:numId="5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51C32"/>
    <w:rsid w:val="00095E27"/>
    <w:rsid w:val="00097F0C"/>
    <w:rsid w:val="000B67AB"/>
    <w:rsid w:val="000C38D3"/>
    <w:rsid w:val="000D25D2"/>
    <w:rsid w:val="000F5D2E"/>
    <w:rsid w:val="000F725D"/>
    <w:rsid w:val="00126071"/>
    <w:rsid w:val="001373B5"/>
    <w:rsid w:val="0015717F"/>
    <w:rsid w:val="00161E09"/>
    <w:rsid w:val="00195D98"/>
    <w:rsid w:val="001D0329"/>
    <w:rsid w:val="002043FB"/>
    <w:rsid w:val="00243F45"/>
    <w:rsid w:val="00255B8B"/>
    <w:rsid w:val="002641EF"/>
    <w:rsid w:val="002C438E"/>
    <w:rsid w:val="002D5BD1"/>
    <w:rsid w:val="002F1B7F"/>
    <w:rsid w:val="00305F75"/>
    <w:rsid w:val="003210D3"/>
    <w:rsid w:val="00322922"/>
    <w:rsid w:val="003376C6"/>
    <w:rsid w:val="0038151C"/>
    <w:rsid w:val="00381A76"/>
    <w:rsid w:val="003B2480"/>
    <w:rsid w:val="003C0D9B"/>
    <w:rsid w:val="003D5778"/>
    <w:rsid w:val="003D77CB"/>
    <w:rsid w:val="003F1CB9"/>
    <w:rsid w:val="00422F7F"/>
    <w:rsid w:val="00472FE7"/>
    <w:rsid w:val="00484E89"/>
    <w:rsid w:val="00536DFE"/>
    <w:rsid w:val="00540896"/>
    <w:rsid w:val="00543A34"/>
    <w:rsid w:val="0055030B"/>
    <w:rsid w:val="0056201A"/>
    <w:rsid w:val="00563EDA"/>
    <w:rsid w:val="0056533A"/>
    <w:rsid w:val="00573C46"/>
    <w:rsid w:val="00574340"/>
    <w:rsid w:val="005957DC"/>
    <w:rsid w:val="005B44C8"/>
    <w:rsid w:val="005D5B90"/>
    <w:rsid w:val="005F04EA"/>
    <w:rsid w:val="00602C26"/>
    <w:rsid w:val="006367A7"/>
    <w:rsid w:val="0064762B"/>
    <w:rsid w:val="00651646"/>
    <w:rsid w:val="00654082"/>
    <w:rsid w:val="00674EA5"/>
    <w:rsid w:val="00696DF8"/>
    <w:rsid w:val="006F00C2"/>
    <w:rsid w:val="006F2ED7"/>
    <w:rsid w:val="0071352F"/>
    <w:rsid w:val="00733D0B"/>
    <w:rsid w:val="00753574"/>
    <w:rsid w:val="00761384"/>
    <w:rsid w:val="00770589"/>
    <w:rsid w:val="00776F3F"/>
    <w:rsid w:val="00777F3F"/>
    <w:rsid w:val="007926FA"/>
    <w:rsid w:val="00796576"/>
    <w:rsid w:val="007C3343"/>
    <w:rsid w:val="007E07C0"/>
    <w:rsid w:val="007E1173"/>
    <w:rsid w:val="00825E9D"/>
    <w:rsid w:val="00884C40"/>
    <w:rsid w:val="008A51EC"/>
    <w:rsid w:val="008B01BE"/>
    <w:rsid w:val="008B27DE"/>
    <w:rsid w:val="008B7D3F"/>
    <w:rsid w:val="008D7272"/>
    <w:rsid w:val="008F4B87"/>
    <w:rsid w:val="008F75DB"/>
    <w:rsid w:val="009235DE"/>
    <w:rsid w:val="00951C8E"/>
    <w:rsid w:val="00952D1F"/>
    <w:rsid w:val="009A0C48"/>
    <w:rsid w:val="009C1B1E"/>
    <w:rsid w:val="009C615C"/>
    <w:rsid w:val="00A22F72"/>
    <w:rsid w:val="00A37320"/>
    <w:rsid w:val="00A666FF"/>
    <w:rsid w:val="00A712CF"/>
    <w:rsid w:val="00A80529"/>
    <w:rsid w:val="00A81F5E"/>
    <w:rsid w:val="00A901A6"/>
    <w:rsid w:val="00AB4213"/>
    <w:rsid w:val="00AB6AE1"/>
    <w:rsid w:val="00B5358C"/>
    <w:rsid w:val="00B61156"/>
    <w:rsid w:val="00B720BB"/>
    <w:rsid w:val="00B723EB"/>
    <w:rsid w:val="00C3582E"/>
    <w:rsid w:val="00C36424"/>
    <w:rsid w:val="00C55397"/>
    <w:rsid w:val="00CA66E9"/>
    <w:rsid w:val="00CD6077"/>
    <w:rsid w:val="00CD6FBD"/>
    <w:rsid w:val="00D17E11"/>
    <w:rsid w:val="00D60B68"/>
    <w:rsid w:val="00D62B4E"/>
    <w:rsid w:val="00D92C59"/>
    <w:rsid w:val="00DC6F1E"/>
    <w:rsid w:val="00DE569A"/>
    <w:rsid w:val="00E1004C"/>
    <w:rsid w:val="00E45AB9"/>
    <w:rsid w:val="00E7460B"/>
    <w:rsid w:val="00ED6F87"/>
    <w:rsid w:val="00F019CE"/>
    <w:rsid w:val="00F02B70"/>
    <w:rsid w:val="00F05A24"/>
    <w:rsid w:val="00F15BD8"/>
    <w:rsid w:val="00F45DB7"/>
    <w:rsid w:val="00F5319E"/>
    <w:rsid w:val="00F85F31"/>
    <w:rsid w:val="00FA42DC"/>
    <w:rsid w:val="00FB4CB6"/>
    <w:rsid w:val="00FE2405"/>
    <w:rsid w:val="00FE315A"/>
    <w:rsid w:val="00FF3245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0ED1"/>
  <w15:docId w15:val="{CDBAB713-DCFA-4A13-A81E-A9F2A54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3376C6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71352F"/>
    <w:rPr>
      <w:b/>
      <w:bCs/>
    </w:rPr>
  </w:style>
  <w:style w:type="character" w:customStyle="1" w:styleId="apple-converted-space">
    <w:name w:val="apple-converted-space"/>
    <w:basedOn w:val="DefaultParagraphFont"/>
    <w:rsid w:val="0071352F"/>
  </w:style>
  <w:style w:type="character" w:styleId="Hyperlink">
    <w:name w:val="Hyperlink"/>
    <w:basedOn w:val="DefaultParagraphFont"/>
    <w:uiPriority w:val="99"/>
    <w:semiHidden/>
    <w:unhideWhenUsed/>
    <w:rsid w:val="00713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25</cp:revision>
  <cp:lastPrinted>2017-02-14T16:24:00Z</cp:lastPrinted>
  <dcterms:created xsi:type="dcterms:W3CDTF">2016-12-01T19:48:00Z</dcterms:created>
  <dcterms:modified xsi:type="dcterms:W3CDTF">2021-03-17T19:19:00Z</dcterms:modified>
</cp:coreProperties>
</file>