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9F04" w14:textId="77777777" w:rsidR="00F85F31" w:rsidRDefault="00D508B4" w:rsidP="00F85F31">
      <w:pPr>
        <w:pStyle w:val="Heading1"/>
        <w:rPr>
          <w:rFonts w:cs="Arial"/>
        </w:rPr>
      </w:pPr>
      <w:bookmarkStart w:id="0" w:name="_Toc370997417"/>
      <w:r>
        <w:rPr>
          <w:rFonts w:cs="Arial"/>
        </w:rPr>
        <w:t xml:space="preserve">BI </w:t>
      </w:r>
      <w:r w:rsidR="00F85F31" w:rsidRPr="00A26898">
        <w:rPr>
          <w:rFonts w:cs="Arial"/>
        </w:rPr>
        <w:t>Equipment Policy</w:t>
      </w:r>
      <w:bookmarkEnd w:id="0"/>
    </w:p>
    <w:p w14:paraId="0F0459EE" w14:textId="2300CAD9" w:rsidR="007C251C" w:rsidRDefault="007C251C" w:rsidP="00ED450A">
      <w:pPr>
        <w:pStyle w:val="ListParagraph"/>
        <w:numPr>
          <w:ilvl w:val="0"/>
          <w:numId w:val="23"/>
        </w:numPr>
        <w:ind w:left="567"/>
      </w:pPr>
      <w:r>
        <w:t xml:space="preserve">This policy pertains to general equipment rules. </w:t>
      </w:r>
    </w:p>
    <w:p w14:paraId="6DC8FD43" w14:textId="108C62B7" w:rsidR="007C251C" w:rsidRPr="00986366" w:rsidRDefault="007C251C" w:rsidP="00ED450A">
      <w:pPr>
        <w:pStyle w:val="ListParagraph"/>
        <w:numPr>
          <w:ilvl w:val="1"/>
          <w:numId w:val="25"/>
        </w:numPr>
        <w:ind w:left="1134" w:hanging="141"/>
      </w:pPr>
      <w:r>
        <w:rPr>
          <w:rFonts w:cs="Arial"/>
        </w:rPr>
        <w:t xml:space="preserve">For information on equipment in contact with biohazardous materials, refer to the </w:t>
      </w:r>
      <w:r w:rsidRPr="00986366">
        <w:rPr>
          <w:rFonts w:cs="Arial"/>
          <w:u w:val="single"/>
        </w:rPr>
        <w:t>BI Equipment Policy</w:t>
      </w:r>
      <w:r>
        <w:rPr>
          <w:rFonts w:cs="Arial"/>
          <w:u w:val="single"/>
        </w:rPr>
        <w:t xml:space="preserve"> – Biohazardous</w:t>
      </w:r>
      <w:r>
        <w:rPr>
          <w:rFonts w:cs="Arial"/>
        </w:rPr>
        <w:t>.</w:t>
      </w:r>
    </w:p>
    <w:p w14:paraId="038E758D" w14:textId="77777777" w:rsidR="003C1FD0" w:rsidRDefault="003C1FD0" w:rsidP="003C1FD0">
      <w:pPr>
        <w:pStyle w:val="ListParagraph"/>
        <w:numPr>
          <w:ilvl w:val="0"/>
          <w:numId w:val="23"/>
        </w:numPr>
        <w:ind w:left="540"/>
      </w:pPr>
      <w:bookmarkStart w:id="1" w:name="_Hlk15047152"/>
      <w:r>
        <w:t>The BI uses an electronic system to track BI equipment usage and user training.</w:t>
      </w:r>
    </w:p>
    <w:p w14:paraId="58F16E87" w14:textId="35A6517F" w:rsidR="00806272" w:rsidRDefault="00806272" w:rsidP="00ED450A">
      <w:pPr>
        <w:pStyle w:val="ListParagraph"/>
        <w:numPr>
          <w:ilvl w:val="0"/>
          <w:numId w:val="23"/>
        </w:numPr>
        <w:ind w:left="567"/>
      </w:pPr>
      <w:r>
        <w:t>BI Users may not use BI equipment without training</w:t>
      </w:r>
      <w:r w:rsidR="007C251C">
        <w:t>, advance scheduling</w:t>
      </w:r>
      <w:r>
        <w:t xml:space="preserve"> or permission from </w:t>
      </w:r>
      <w:r w:rsidR="007C251C">
        <w:t xml:space="preserve">their supervisor or </w:t>
      </w:r>
      <w:r>
        <w:t xml:space="preserve">BI staff. BI Users are not permitted to train other BI Users on equipment. Refer to the </w:t>
      </w:r>
      <w:r w:rsidRPr="003C1FD0">
        <w:rPr>
          <w:u w:val="single"/>
        </w:rPr>
        <w:t>BI Training Policy</w:t>
      </w:r>
      <w:r>
        <w:t>.</w:t>
      </w:r>
    </w:p>
    <w:p w14:paraId="03E21DEF" w14:textId="7F4E4AA7" w:rsidR="00806272" w:rsidRDefault="00806272" w:rsidP="00ED450A">
      <w:pPr>
        <w:pStyle w:val="ListParagraph"/>
        <w:numPr>
          <w:ilvl w:val="0"/>
          <w:numId w:val="23"/>
        </w:numPr>
        <w:ind w:left="567"/>
      </w:pPr>
      <w:r>
        <w:t xml:space="preserve">Unauthorized usage of </w:t>
      </w:r>
      <w:r w:rsidR="007C251C">
        <w:t xml:space="preserve">or training on </w:t>
      </w:r>
      <w:r>
        <w:t xml:space="preserve">BI equipment without permissions will result in an infraction. Refer to the </w:t>
      </w:r>
      <w:r w:rsidRPr="00FB2502">
        <w:rPr>
          <w:u w:val="single"/>
        </w:rPr>
        <w:t>BI Infraction Policy</w:t>
      </w:r>
      <w:r>
        <w:t>.</w:t>
      </w:r>
    </w:p>
    <w:p w14:paraId="6D9F2F36" w14:textId="77777777" w:rsidR="00802B96" w:rsidRDefault="00806272" w:rsidP="00802B96">
      <w:pPr>
        <w:pStyle w:val="ListParagraph"/>
        <w:numPr>
          <w:ilvl w:val="0"/>
          <w:numId w:val="23"/>
        </w:numPr>
        <w:ind w:left="567"/>
        <w:rPr>
          <w:rFonts w:cs="Arial"/>
        </w:rPr>
      </w:pPr>
      <w:r>
        <w:rPr>
          <w:rFonts w:cs="Arial"/>
        </w:rPr>
        <w:t>BI users must notify BI staff of broken or malfunctioning equipment promptly.</w:t>
      </w:r>
    </w:p>
    <w:p w14:paraId="71C93B65" w14:textId="0EE30DD3" w:rsidR="00802B96" w:rsidRPr="00802B96" w:rsidRDefault="00802B96" w:rsidP="00802B96">
      <w:pPr>
        <w:pStyle w:val="ListParagraph"/>
        <w:numPr>
          <w:ilvl w:val="0"/>
          <w:numId w:val="23"/>
        </w:numPr>
        <w:ind w:left="567"/>
        <w:rPr>
          <w:rFonts w:cs="Arial"/>
        </w:rPr>
      </w:pPr>
      <w:r>
        <w:t xml:space="preserve">BI Users will not troubleshoot BI equipment errors or issues without prior permission from BI staff. </w:t>
      </w:r>
    </w:p>
    <w:p w14:paraId="53114BCC" w14:textId="4290FEA4" w:rsidR="00806272" w:rsidRPr="007C251C" w:rsidRDefault="00806272" w:rsidP="00ED450A">
      <w:pPr>
        <w:pStyle w:val="ListParagraph"/>
        <w:numPr>
          <w:ilvl w:val="0"/>
          <w:numId w:val="23"/>
        </w:numPr>
        <w:ind w:left="567"/>
      </w:pPr>
      <w:r>
        <w:t>Equipment unavailable due to maintenance or malfunction</w:t>
      </w:r>
      <w:r w:rsidRPr="00083BBA">
        <w:rPr>
          <w:rFonts w:cs="Arial"/>
        </w:rPr>
        <w:t xml:space="preserve"> will be </w:t>
      </w:r>
      <w:r w:rsidR="00D113E8">
        <w:rPr>
          <w:rFonts w:cs="Arial"/>
        </w:rPr>
        <w:t>marked with signage. Seek additional information from BI staff.</w:t>
      </w:r>
      <w:r w:rsidR="007C251C">
        <w:rPr>
          <w:rFonts w:cs="Arial"/>
        </w:rPr>
        <w:t xml:space="preserve"> </w:t>
      </w:r>
    </w:p>
    <w:p w14:paraId="681D16B3" w14:textId="6EA160BC" w:rsidR="007C251C" w:rsidRPr="00806272" w:rsidRDefault="007C251C" w:rsidP="00ED450A">
      <w:pPr>
        <w:pStyle w:val="ListParagraph"/>
        <w:numPr>
          <w:ilvl w:val="0"/>
          <w:numId w:val="23"/>
        </w:numPr>
        <w:ind w:left="567"/>
      </w:pPr>
      <w:r w:rsidRPr="00806272">
        <w:rPr>
          <w:rFonts w:cs="Arial"/>
          <w:szCs w:val="24"/>
        </w:rPr>
        <w:t xml:space="preserve">Any inspection, preventative maintenance, calibration, </w:t>
      </w:r>
      <w:proofErr w:type="gramStart"/>
      <w:r w:rsidRPr="00806272">
        <w:rPr>
          <w:rFonts w:cs="Arial"/>
          <w:szCs w:val="24"/>
        </w:rPr>
        <w:t>repair</w:t>
      </w:r>
      <w:proofErr w:type="gramEnd"/>
      <w:r w:rsidRPr="00806272">
        <w:rPr>
          <w:rFonts w:cs="Arial"/>
          <w:szCs w:val="24"/>
        </w:rPr>
        <w:t xml:space="preserve"> or certification records that pertain to equipment will be kept on file</w:t>
      </w:r>
      <w:r w:rsidR="003C1FD0">
        <w:rPr>
          <w:rFonts w:cs="Arial"/>
          <w:szCs w:val="24"/>
        </w:rPr>
        <w:t xml:space="preserve"> by BI Staff</w:t>
      </w:r>
      <w:r w:rsidRPr="00806272">
        <w:rPr>
          <w:rFonts w:cs="Arial"/>
          <w:szCs w:val="24"/>
        </w:rPr>
        <w:t xml:space="preserve">. </w:t>
      </w:r>
    </w:p>
    <w:p w14:paraId="6ECDDCD7" w14:textId="601C754D" w:rsidR="003C1FD0" w:rsidRDefault="003C1FD0" w:rsidP="00F85F31">
      <w:pPr>
        <w:pStyle w:val="Heading2"/>
        <w:rPr>
          <w:rFonts w:cs="Arial"/>
        </w:rPr>
      </w:pPr>
      <w:bookmarkStart w:id="2" w:name="_Toc370997418"/>
      <w:bookmarkStart w:id="3" w:name="_Toc339871505"/>
      <w:bookmarkEnd w:id="1"/>
      <w:r>
        <w:rPr>
          <w:rFonts w:cs="Arial"/>
        </w:rPr>
        <w:t>Equipment Training</w:t>
      </w:r>
    </w:p>
    <w:p w14:paraId="77ABDA76" w14:textId="6036C4D5" w:rsidR="003C1FD0" w:rsidRDefault="003C1FD0" w:rsidP="003C1FD0">
      <w:pPr>
        <w:pStyle w:val="ListParagraph"/>
        <w:numPr>
          <w:ilvl w:val="0"/>
          <w:numId w:val="26"/>
        </w:numPr>
        <w:ind w:left="540"/>
      </w:pPr>
      <w:r>
        <w:t xml:space="preserve">To use BI equipment, BI Users must be trained on-site by BI staff. Equipment training is subject to instrument and staff-time fees and BI Users should consult with their supervisor prior to requesting training for approval. </w:t>
      </w:r>
    </w:p>
    <w:p w14:paraId="7F150106" w14:textId="77777777" w:rsidR="003C1FD0" w:rsidRPr="003C1FD0" w:rsidRDefault="003C1FD0" w:rsidP="003C1FD0">
      <w:pPr>
        <w:pStyle w:val="ListParagraph"/>
        <w:numPr>
          <w:ilvl w:val="0"/>
          <w:numId w:val="26"/>
        </w:numPr>
        <w:ind w:left="540"/>
      </w:pPr>
      <w:r>
        <w:t>BI Users are not permitted to train others on BI equipment.</w:t>
      </w:r>
      <w:r w:rsidRPr="003C1FD0">
        <w:rPr>
          <w:rFonts w:cs="Arial"/>
        </w:rPr>
        <w:t xml:space="preserve"> </w:t>
      </w:r>
    </w:p>
    <w:p w14:paraId="0744BB40" w14:textId="77777777" w:rsidR="003C1FD0" w:rsidRDefault="003C1FD0" w:rsidP="003C1FD0">
      <w:pPr>
        <w:pStyle w:val="ListParagraph"/>
        <w:numPr>
          <w:ilvl w:val="0"/>
          <w:numId w:val="26"/>
        </w:numPr>
        <w:ind w:left="540"/>
      </w:pPr>
      <w:r>
        <w:t xml:space="preserve">Upon completing equipment training with BI staff, BI Users may be required to read and sign-off on applicable Standard Operating Procedures (SOPs), as maintained by BI staff. </w:t>
      </w:r>
    </w:p>
    <w:p w14:paraId="55D76CB5" w14:textId="3D74C830" w:rsidR="003C1FD0" w:rsidRPr="003C1FD0" w:rsidRDefault="003C1FD0" w:rsidP="003C1FD0">
      <w:pPr>
        <w:pStyle w:val="ListParagraph"/>
        <w:numPr>
          <w:ilvl w:val="0"/>
          <w:numId w:val="26"/>
        </w:numPr>
        <w:ind w:left="540"/>
      </w:pPr>
      <w:r w:rsidRPr="00D52848">
        <w:t xml:space="preserve">If a user demonstrates incorrect usage of the instrument or needs constant assistance following training, retraining may be required. </w:t>
      </w:r>
      <w:r>
        <w:t>Re-training is subject to training fees anew.</w:t>
      </w:r>
    </w:p>
    <w:p w14:paraId="5AB61300" w14:textId="35D0F797" w:rsidR="003C1FD0" w:rsidRDefault="003C1FD0" w:rsidP="00F85F31">
      <w:pPr>
        <w:pStyle w:val="Heading2"/>
        <w:rPr>
          <w:rFonts w:cs="Arial"/>
        </w:rPr>
      </w:pPr>
      <w:r>
        <w:rPr>
          <w:rFonts w:cs="Arial"/>
        </w:rPr>
        <w:t>Equipment Scheduling &amp; Usage</w:t>
      </w:r>
    </w:p>
    <w:p w14:paraId="2582E79F" w14:textId="2CB727E9" w:rsidR="003C1FD0" w:rsidRDefault="003C1FD0" w:rsidP="003C1FD0">
      <w:pPr>
        <w:pStyle w:val="ListParagraph"/>
        <w:numPr>
          <w:ilvl w:val="0"/>
          <w:numId w:val="27"/>
        </w:numPr>
        <w:ind w:left="540"/>
      </w:pPr>
      <w:r>
        <w:t xml:space="preserve">All equipment usage requires advance scheduling. </w:t>
      </w:r>
      <w:bookmarkStart w:id="4" w:name="_Hlk69200800"/>
      <w:r>
        <w:t>Scheduling will be explained to BI Users during equipment training sessions.</w:t>
      </w:r>
    </w:p>
    <w:bookmarkEnd w:id="4"/>
    <w:p w14:paraId="750795D8" w14:textId="77777777" w:rsidR="00802B96" w:rsidRDefault="003C1FD0" w:rsidP="00802B96">
      <w:pPr>
        <w:pStyle w:val="ListParagraph"/>
        <w:numPr>
          <w:ilvl w:val="0"/>
          <w:numId w:val="27"/>
        </w:numPr>
        <w:ind w:left="540"/>
      </w:pPr>
      <w:r>
        <w:t xml:space="preserve">Equipment usage is based on scheduling, </w:t>
      </w:r>
      <w:proofErr w:type="spellStart"/>
      <w:r>
        <w:t>logsheets</w:t>
      </w:r>
      <w:proofErr w:type="spellEnd"/>
      <w:r>
        <w:t xml:space="preserve">, or tracking devices/software. </w:t>
      </w:r>
    </w:p>
    <w:p w14:paraId="2A557BE4" w14:textId="77777777" w:rsidR="00802B96" w:rsidRDefault="00802B96" w:rsidP="00802B96">
      <w:pPr>
        <w:pStyle w:val="ListParagraph"/>
        <w:numPr>
          <w:ilvl w:val="0"/>
          <w:numId w:val="27"/>
        </w:numPr>
        <w:ind w:left="540"/>
      </w:pPr>
      <w:r>
        <w:t xml:space="preserve">Equipment usage is subject to fees. Fees can be provided upon request. Usage fees are billing to BI User Supervisors via equipment scheduling times, external tracking system or equipment </w:t>
      </w:r>
      <w:proofErr w:type="spellStart"/>
      <w:r>
        <w:t>logsheets</w:t>
      </w:r>
      <w:proofErr w:type="spellEnd"/>
      <w:r>
        <w:t>.</w:t>
      </w:r>
    </w:p>
    <w:p w14:paraId="6BF6AA04" w14:textId="77777777" w:rsidR="00802B96" w:rsidRDefault="00802B96" w:rsidP="00802B96">
      <w:pPr>
        <w:pStyle w:val="ListParagraph"/>
        <w:numPr>
          <w:ilvl w:val="0"/>
          <w:numId w:val="27"/>
        </w:numPr>
        <w:ind w:left="540"/>
      </w:pPr>
      <w:r>
        <w:t xml:space="preserve">If equipment usage extends past a scheduled time, the BI User must amend the schedule and/or notify BI Staff. If extended usage is not possible due to a </w:t>
      </w:r>
      <w:r>
        <w:lastRenderedPageBreak/>
        <w:t>conflicting schedule, the BI User must respect the next scheduled usage and end their usage.</w:t>
      </w:r>
      <w:r w:rsidRPr="00F90FFF">
        <w:t xml:space="preserve"> </w:t>
      </w:r>
    </w:p>
    <w:p w14:paraId="091F5B59" w14:textId="6B00EA57" w:rsidR="00802B96" w:rsidRDefault="00802B96" w:rsidP="00802B96">
      <w:pPr>
        <w:pStyle w:val="ListParagraph"/>
        <w:numPr>
          <w:ilvl w:val="0"/>
          <w:numId w:val="27"/>
        </w:numPr>
        <w:ind w:left="540"/>
      </w:pPr>
      <w:r>
        <w:t>BI Users are responsible for transferring data while during their scheduled equipment usage. The BI is not responsible for data stored locally on any computers. Data must be transferred virtually (</w:t>
      </w:r>
      <w:proofErr w:type="gramStart"/>
      <w:r>
        <w:t>e.g.</w:t>
      </w:r>
      <w:proofErr w:type="gramEnd"/>
      <w:r>
        <w:t xml:space="preserve"> </w:t>
      </w:r>
      <w:proofErr w:type="spellStart"/>
      <w:r>
        <w:t>dropbox</w:t>
      </w:r>
      <w:proofErr w:type="spellEnd"/>
      <w:r>
        <w:t xml:space="preserve">, email); USB drives are not permitted on BI computers. </w:t>
      </w:r>
    </w:p>
    <w:p w14:paraId="7E4888B6" w14:textId="5C80F7FA" w:rsidR="00F85F31" w:rsidRPr="0092206E" w:rsidRDefault="00F85F31" w:rsidP="00F85F31">
      <w:pPr>
        <w:pStyle w:val="Heading2"/>
        <w:rPr>
          <w:rFonts w:cs="Arial"/>
        </w:rPr>
      </w:pPr>
      <w:r w:rsidRPr="00A26898">
        <w:rPr>
          <w:rFonts w:cs="Arial"/>
        </w:rPr>
        <w:t>Fume Hoods</w:t>
      </w:r>
      <w:bookmarkEnd w:id="2"/>
    </w:p>
    <w:p w14:paraId="3FB1B6C9" w14:textId="77777777" w:rsidR="00F85F31" w:rsidRDefault="00F85F31" w:rsidP="00ED450A">
      <w:pPr>
        <w:pStyle w:val="ListParagraph"/>
        <w:numPr>
          <w:ilvl w:val="0"/>
          <w:numId w:val="14"/>
        </w:numPr>
        <w:ind w:left="567"/>
        <w:rPr>
          <w:rFonts w:cs="Arial"/>
        </w:rPr>
      </w:pPr>
      <w:r w:rsidRPr="0092206E">
        <w:rPr>
          <w:rFonts w:cs="Arial"/>
        </w:rPr>
        <w:t xml:space="preserve">All work involving hazardous or malodorous materials should be done in an operational fume hood. </w:t>
      </w:r>
    </w:p>
    <w:p w14:paraId="1FBE22D9" w14:textId="77777777" w:rsidR="00E83467" w:rsidRDefault="00E83467" w:rsidP="00ED450A">
      <w:pPr>
        <w:pStyle w:val="ListParagraph"/>
        <w:numPr>
          <w:ilvl w:val="0"/>
          <w:numId w:val="14"/>
        </w:numPr>
        <w:ind w:left="567"/>
        <w:rPr>
          <w:rFonts w:cs="Arial"/>
        </w:rPr>
      </w:pPr>
      <w:r>
        <w:rPr>
          <w:rFonts w:cs="Arial"/>
        </w:rPr>
        <w:t xml:space="preserve">Refer to the </w:t>
      </w:r>
      <w:r w:rsidRPr="00E83467">
        <w:rPr>
          <w:rFonts w:cs="Arial"/>
          <w:u w:val="single"/>
        </w:rPr>
        <w:t>Fume Hood SOP</w:t>
      </w:r>
      <w:r>
        <w:rPr>
          <w:rFonts w:cs="Arial"/>
        </w:rPr>
        <w:t xml:space="preserve"> for operating practices.</w:t>
      </w:r>
    </w:p>
    <w:p w14:paraId="5C4BB2E6" w14:textId="77777777" w:rsidR="00E83467" w:rsidRDefault="00E83467" w:rsidP="00ED450A">
      <w:pPr>
        <w:pStyle w:val="ListParagraph"/>
        <w:numPr>
          <w:ilvl w:val="0"/>
          <w:numId w:val="14"/>
        </w:numPr>
        <w:ind w:left="567"/>
        <w:rPr>
          <w:rFonts w:cs="Arial"/>
        </w:rPr>
      </w:pPr>
      <w:r w:rsidRPr="0092206E">
        <w:rPr>
          <w:rFonts w:cs="Arial"/>
        </w:rPr>
        <w:t xml:space="preserve">Fume hoods are not a substitute for personal protective equipment (PPE); wear the appropriate PPE. </w:t>
      </w:r>
      <w:r>
        <w:rPr>
          <w:rFonts w:cs="Arial"/>
        </w:rPr>
        <w:t xml:space="preserve">Refer to the </w:t>
      </w:r>
      <w:r w:rsidRPr="00E83467">
        <w:rPr>
          <w:rFonts w:cs="Arial"/>
          <w:u w:val="single"/>
        </w:rPr>
        <w:t>BI PPE Policy</w:t>
      </w:r>
      <w:r>
        <w:rPr>
          <w:rFonts w:cs="Arial"/>
        </w:rPr>
        <w:t>.</w:t>
      </w:r>
    </w:p>
    <w:p w14:paraId="5F1B1A1D" w14:textId="77777777" w:rsidR="00E83467" w:rsidRDefault="00E83467" w:rsidP="00ED450A">
      <w:pPr>
        <w:pStyle w:val="ListParagraph"/>
        <w:numPr>
          <w:ilvl w:val="0"/>
          <w:numId w:val="14"/>
        </w:numPr>
        <w:ind w:left="567"/>
        <w:rPr>
          <w:rFonts w:cs="Arial"/>
        </w:rPr>
      </w:pPr>
      <w:r>
        <w:rPr>
          <w:rFonts w:cs="Arial"/>
        </w:rPr>
        <w:t>BI users are not authorized to use f</w:t>
      </w:r>
      <w:r w:rsidRPr="0092206E">
        <w:rPr>
          <w:rFonts w:cs="Arial"/>
        </w:rPr>
        <w:t xml:space="preserve">ume hoods for storage. </w:t>
      </w:r>
      <w:r>
        <w:rPr>
          <w:rFonts w:cs="Arial"/>
        </w:rPr>
        <w:t xml:space="preserve">Refer to the </w:t>
      </w:r>
      <w:r w:rsidRPr="00E83467">
        <w:rPr>
          <w:rFonts w:cs="Arial"/>
          <w:u w:val="single"/>
        </w:rPr>
        <w:t>BI Substance Policy</w:t>
      </w:r>
      <w:r>
        <w:rPr>
          <w:rFonts w:cs="Arial"/>
        </w:rPr>
        <w:t>.</w:t>
      </w:r>
    </w:p>
    <w:p w14:paraId="2DC5AE57" w14:textId="77777777" w:rsidR="00F85F31" w:rsidRDefault="00F85F31" w:rsidP="00ED450A">
      <w:pPr>
        <w:pStyle w:val="ListParagraph"/>
        <w:numPr>
          <w:ilvl w:val="0"/>
          <w:numId w:val="14"/>
        </w:numPr>
        <w:ind w:left="567"/>
        <w:rPr>
          <w:rFonts w:cs="Arial"/>
        </w:rPr>
      </w:pPr>
      <w:r w:rsidRPr="0092206E">
        <w:rPr>
          <w:rFonts w:cs="Arial"/>
        </w:rPr>
        <w:t>Clean up any spills promptly and keep the chamber clean of chemical residues.</w:t>
      </w:r>
      <w:r w:rsidR="00E83467">
        <w:rPr>
          <w:rFonts w:cs="Arial"/>
        </w:rPr>
        <w:t xml:space="preserve"> Refer to the </w:t>
      </w:r>
      <w:r w:rsidR="00E83467" w:rsidRPr="00E83467">
        <w:rPr>
          <w:rFonts w:cs="Arial"/>
          <w:u w:val="single"/>
        </w:rPr>
        <w:t>BI Spill Policy</w:t>
      </w:r>
      <w:r w:rsidR="00A221F6" w:rsidRPr="00A221F6">
        <w:rPr>
          <w:rFonts w:cs="Arial"/>
          <w:u w:val="single"/>
        </w:rPr>
        <w:t xml:space="preserve"> </w:t>
      </w:r>
      <w:r w:rsidR="00A221F6">
        <w:rPr>
          <w:rFonts w:cs="Arial"/>
          <w:u w:val="single"/>
        </w:rPr>
        <w:t xml:space="preserve">– </w:t>
      </w:r>
      <w:r w:rsidR="00A221F6" w:rsidRPr="00E83467">
        <w:rPr>
          <w:rFonts w:cs="Arial"/>
          <w:u w:val="single"/>
        </w:rPr>
        <w:t>Hazardous</w:t>
      </w:r>
      <w:r w:rsidR="00E83467">
        <w:rPr>
          <w:rFonts w:cs="Arial"/>
        </w:rPr>
        <w:t>.</w:t>
      </w:r>
    </w:p>
    <w:p w14:paraId="13BE1759" w14:textId="77777777" w:rsidR="00C81890" w:rsidRPr="00A26898" w:rsidRDefault="00C81890" w:rsidP="00C81890">
      <w:pPr>
        <w:pStyle w:val="Heading2"/>
        <w:keepNext/>
        <w:spacing w:before="240"/>
        <w:rPr>
          <w:rFonts w:cs="Arial"/>
        </w:rPr>
      </w:pPr>
      <w:bookmarkStart w:id="5" w:name="_Toc370997419"/>
      <w:r w:rsidRPr="00A26898">
        <w:rPr>
          <w:rFonts w:cs="Arial"/>
        </w:rPr>
        <w:t>Pipettes</w:t>
      </w:r>
    </w:p>
    <w:p w14:paraId="7E927FB4" w14:textId="77777777" w:rsidR="00C81890" w:rsidRDefault="00C81890" w:rsidP="00ED450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 w:rsidRPr="00A221F6">
        <w:rPr>
          <w:rFonts w:cs="Arial"/>
          <w:szCs w:val="24"/>
        </w:rPr>
        <w:t>Mechanical pipettes will be used for liquid transfer. Oral pipetting is prohibited.</w:t>
      </w:r>
    </w:p>
    <w:p w14:paraId="553A1C71" w14:textId="6CC455B9" w:rsidR="00CD576B" w:rsidRPr="00A26898" w:rsidRDefault="00CD576B" w:rsidP="00ED450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Pipette</w:t>
      </w:r>
      <w:r w:rsidRPr="00A26898">
        <w:rPr>
          <w:rFonts w:cs="Arial"/>
          <w:szCs w:val="24"/>
        </w:rPr>
        <w:t xml:space="preserve"> </w:t>
      </w:r>
      <w:r w:rsidR="00806272">
        <w:rPr>
          <w:rFonts w:cs="Arial"/>
          <w:szCs w:val="24"/>
        </w:rPr>
        <w:t xml:space="preserve">tip or glass </w:t>
      </w:r>
      <w:r w:rsidRPr="00A26898">
        <w:rPr>
          <w:rFonts w:cs="Arial"/>
          <w:szCs w:val="24"/>
        </w:rPr>
        <w:t xml:space="preserve">disposal </w:t>
      </w:r>
      <w:r>
        <w:rPr>
          <w:rFonts w:cs="Arial"/>
          <w:szCs w:val="24"/>
        </w:rPr>
        <w:t>should be</w:t>
      </w:r>
      <w:r w:rsidRPr="00A26898">
        <w:rPr>
          <w:rFonts w:cs="Arial"/>
          <w:szCs w:val="24"/>
        </w:rPr>
        <w:t xml:space="preserve"> in accordance </w:t>
      </w:r>
      <w:r>
        <w:rPr>
          <w:rFonts w:cs="Arial"/>
          <w:szCs w:val="24"/>
        </w:rPr>
        <w:t>with</w:t>
      </w:r>
      <w:r w:rsidRPr="00A26898">
        <w:rPr>
          <w:rFonts w:cs="Arial"/>
          <w:szCs w:val="24"/>
        </w:rPr>
        <w:t xml:space="preserve"> </w:t>
      </w:r>
      <w:r w:rsidRPr="0092206E">
        <w:rPr>
          <w:rFonts w:cs="Arial"/>
          <w:szCs w:val="24"/>
          <w:u w:val="single"/>
        </w:rPr>
        <w:t>BI Waste Disposa</w:t>
      </w:r>
      <w:r>
        <w:rPr>
          <w:rFonts w:cs="Arial"/>
          <w:szCs w:val="24"/>
          <w:u w:val="single"/>
        </w:rPr>
        <w:t>l Policies</w:t>
      </w:r>
      <w:r w:rsidRPr="00A26898">
        <w:rPr>
          <w:rFonts w:cs="Arial"/>
          <w:szCs w:val="24"/>
        </w:rPr>
        <w:t>.</w:t>
      </w:r>
    </w:p>
    <w:p w14:paraId="3162053A" w14:textId="77777777" w:rsidR="00F85F31" w:rsidRPr="00A26898" w:rsidRDefault="00F85F31" w:rsidP="00D768CC">
      <w:pPr>
        <w:pStyle w:val="Heading2"/>
      </w:pPr>
      <w:bookmarkStart w:id="6" w:name="_Toc339871507"/>
      <w:bookmarkStart w:id="7" w:name="_Toc370997421"/>
      <w:bookmarkEnd w:id="3"/>
      <w:bookmarkEnd w:id="5"/>
      <w:r w:rsidRPr="00A26898">
        <w:t>Sharps</w:t>
      </w:r>
      <w:bookmarkEnd w:id="6"/>
      <w:bookmarkEnd w:id="7"/>
    </w:p>
    <w:p w14:paraId="557097C6" w14:textId="77777777" w:rsidR="00F6352B" w:rsidRPr="00F6352B" w:rsidRDefault="00F6352B" w:rsidP="00ED450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bookmarkStart w:id="8" w:name="_Hlk69202204"/>
      <w:r>
        <w:t xml:space="preserve">Sharps include </w:t>
      </w:r>
      <w:r>
        <w:t>needles, razor blades, scalpel blades, broken glass and glass contaminated with biohazards.</w:t>
      </w:r>
      <w:r>
        <w:t xml:space="preserve"> </w:t>
      </w:r>
    </w:p>
    <w:p w14:paraId="725D6FAC" w14:textId="04233338" w:rsidR="00F6352B" w:rsidRDefault="00F85F31" w:rsidP="00ED450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 w:rsidRPr="00A26898">
        <w:rPr>
          <w:rFonts w:cs="Arial"/>
          <w:szCs w:val="24"/>
        </w:rPr>
        <w:t>The use of needles</w:t>
      </w:r>
      <w:r w:rsidR="00F6352B">
        <w:rPr>
          <w:rFonts w:cs="Arial"/>
          <w:szCs w:val="24"/>
        </w:rPr>
        <w:t xml:space="preserve"> </w:t>
      </w:r>
      <w:r w:rsidRPr="00A26898">
        <w:rPr>
          <w:rFonts w:cs="Arial"/>
          <w:szCs w:val="24"/>
        </w:rPr>
        <w:t xml:space="preserve">and other sharp objects should be limited. </w:t>
      </w:r>
    </w:p>
    <w:p w14:paraId="186F444F" w14:textId="1461433E" w:rsidR="00F85F31" w:rsidRPr="00A26898" w:rsidRDefault="00F6352B" w:rsidP="00ED450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 w:rsidRPr="001F0078">
        <w:t>Handling sharps</w:t>
      </w:r>
      <w:r w:rsidRPr="00F6352B">
        <w:rPr>
          <w:b/>
        </w:rPr>
        <w:t xml:space="preserve"> </w:t>
      </w:r>
      <w:r w:rsidRPr="00AC12B5">
        <w:t>properly is important to prevent accidental needle sticks and cuts.</w:t>
      </w:r>
    </w:p>
    <w:p w14:paraId="73A7A988" w14:textId="5C732E04" w:rsidR="00F6352B" w:rsidRPr="00F6352B" w:rsidRDefault="00F6352B" w:rsidP="00ED450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 w:rsidRPr="00F6352B">
        <w:rPr>
          <w:rFonts w:eastAsia="Times New Roman" w:cs="Times New Roman"/>
          <w:lang w:val="en-US"/>
        </w:rPr>
        <w:t xml:space="preserve">Always discard needles immediately after use in an approved sharps </w:t>
      </w:r>
      <w:r>
        <w:rPr>
          <w:rFonts w:eastAsia="Times New Roman" w:cs="Times New Roman"/>
          <w:lang w:val="en-US"/>
        </w:rPr>
        <w:t xml:space="preserve">disposal </w:t>
      </w:r>
      <w:r w:rsidRPr="00F6352B">
        <w:rPr>
          <w:rFonts w:eastAsia="Times New Roman" w:cs="Times New Roman"/>
          <w:lang w:val="en-US"/>
        </w:rPr>
        <w:t>container.</w:t>
      </w:r>
      <w:r w:rsidRPr="00B82464">
        <w:t xml:space="preserve"> </w:t>
      </w:r>
      <w:r w:rsidRPr="00F6352B">
        <w:rPr>
          <w:rFonts w:eastAsia="Times New Roman" w:cs="Times New Roman"/>
          <w:lang w:val="en-US"/>
        </w:rPr>
        <w:t>Needles should NOT contain liquids; eject liquids into an appropriate waste container</w:t>
      </w:r>
      <w:r>
        <w:rPr>
          <w:rFonts w:eastAsia="Times New Roman" w:cs="Times New Roman"/>
          <w:lang w:val="en-US"/>
        </w:rPr>
        <w:t xml:space="preserve"> prior to disposal</w:t>
      </w:r>
      <w:r w:rsidRPr="00F6352B">
        <w:rPr>
          <w:rFonts w:eastAsia="Times New Roman" w:cs="Times New Roman"/>
          <w:lang w:val="en-US"/>
        </w:rPr>
        <w:t xml:space="preserve">. </w:t>
      </w:r>
    </w:p>
    <w:p w14:paraId="00BCCC1D" w14:textId="0283616C" w:rsidR="00F6352B" w:rsidRDefault="00F6352B" w:rsidP="00F6352B">
      <w:pPr>
        <w:pStyle w:val="ListParagraph"/>
        <w:numPr>
          <w:ilvl w:val="0"/>
          <w:numId w:val="17"/>
        </w:numPr>
        <w:ind w:left="540"/>
      </w:pPr>
      <w:r>
        <w:t xml:space="preserve">When removing a needle from a syringe, use the special features of the </w:t>
      </w:r>
      <w:proofErr w:type="gramStart"/>
      <w:r>
        <w:t>sharps</w:t>
      </w:r>
      <w:proofErr w:type="gramEnd"/>
      <w:r>
        <w:t xml:space="preserve"> </w:t>
      </w:r>
      <w:r>
        <w:t xml:space="preserve">disposal </w:t>
      </w:r>
      <w:r>
        <w:t xml:space="preserve">container lid, so that the needle falls into the sharps container. The syringe </w:t>
      </w:r>
      <w:r>
        <w:t>should</w:t>
      </w:r>
      <w:r>
        <w:t xml:space="preserve"> be disposed of separately</w:t>
      </w:r>
      <w:r>
        <w:t xml:space="preserve"> into the appropriate waste channel</w:t>
      </w:r>
      <w:r>
        <w:t>. If the needle cannot be removed from the syringe, seek assistance from BI staff.</w:t>
      </w:r>
    </w:p>
    <w:p w14:paraId="0CAEF91A" w14:textId="3B5BB755" w:rsidR="00F6352B" w:rsidRPr="00A26898" w:rsidRDefault="00F6352B" w:rsidP="00F6352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40"/>
        <w:rPr>
          <w:rFonts w:cs="Arial"/>
          <w:szCs w:val="24"/>
        </w:rPr>
      </w:pPr>
      <w:r w:rsidRPr="00A26898">
        <w:rPr>
          <w:rFonts w:cs="Arial"/>
          <w:szCs w:val="24"/>
        </w:rPr>
        <w:t>Needle recapping</w:t>
      </w:r>
      <w:r>
        <w:rPr>
          <w:rFonts w:cs="Arial"/>
          <w:szCs w:val="24"/>
        </w:rPr>
        <w:t xml:space="preserve"> or bending</w:t>
      </w:r>
      <w:r w:rsidRPr="00A26898">
        <w:rPr>
          <w:rFonts w:cs="Arial"/>
          <w:szCs w:val="24"/>
        </w:rPr>
        <w:t xml:space="preserve"> is </w:t>
      </w:r>
      <w:r>
        <w:rPr>
          <w:rFonts w:cs="Arial"/>
          <w:szCs w:val="24"/>
        </w:rPr>
        <w:t xml:space="preserve">not permitted unless </w:t>
      </w:r>
      <w:r>
        <w:t xml:space="preserve">procedures and hazards are captured in a SOP that minimized risks to the user. </w:t>
      </w:r>
      <w:r>
        <w:t xml:space="preserve">Such SOPs must be approved by BI Staff. </w:t>
      </w:r>
      <w:r w:rsidRPr="00F6352B">
        <w:rPr>
          <w:rFonts w:eastAsia="Times New Roman" w:cs="Times New Roman"/>
          <w:lang w:val="en-US"/>
        </w:rPr>
        <w:t>If recapping, use a safe, one-handed method of recapping SOP or a recapping device.</w:t>
      </w:r>
    </w:p>
    <w:p w14:paraId="50D3E39C" w14:textId="1894A23B" w:rsidR="00F6352B" w:rsidRDefault="00F85F31" w:rsidP="00F6352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40"/>
      </w:pPr>
      <w:proofErr w:type="gramStart"/>
      <w:r w:rsidRPr="00F6352B">
        <w:rPr>
          <w:rFonts w:cs="Arial"/>
          <w:szCs w:val="24"/>
        </w:rPr>
        <w:t>Sharps</w:t>
      </w:r>
      <w:proofErr w:type="gramEnd"/>
      <w:r w:rsidRPr="00F6352B">
        <w:rPr>
          <w:rFonts w:cs="Arial"/>
          <w:szCs w:val="24"/>
        </w:rPr>
        <w:t xml:space="preserve"> disposal into puncture-resistant sharps containers </w:t>
      </w:r>
      <w:bookmarkEnd w:id="8"/>
      <w:r w:rsidRPr="00F6352B">
        <w:rPr>
          <w:rFonts w:cs="Arial"/>
          <w:szCs w:val="24"/>
        </w:rPr>
        <w:t xml:space="preserve">will be in accordance to the </w:t>
      </w:r>
      <w:r w:rsidRPr="00F6352B">
        <w:rPr>
          <w:rFonts w:cs="Arial"/>
          <w:szCs w:val="24"/>
          <w:u w:val="single"/>
        </w:rPr>
        <w:t>BI Waste Disposa</w:t>
      </w:r>
      <w:r w:rsidR="00A221F6" w:rsidRPr="00F6352B">
        <w:rPr>
          <w:rFonts w:cs="Arial"/>
          <w:szCs w:val="24"/>
          <w:u w:val="single"/>
        </w:rPr>
        <w:t>l Policies</w:t>
      </w:r>
      <w:r w:rsidRPr="00F6352B">
        <w:rPr>
          <w:rFonts w:cs="Arial"/>
          <w:szCs w:val="24"/>
        </w:rPr>
        <w:t>.</w:t>
      </w:r>
      <w:r w:rsidR="00F6352B">
        <w:rPr>
          <w:rFonts w:cs="Arial"/>
          <w:szCs w:val="24"/>
        </w:rPr>
        <w:t xml:space="preserve"> </w:t>
      </w:r>
      <w:r w:rsidR="00F6352B" w:rsidRPr="00F6352B">
        <w:rPr>
          <w:rFonts w:eastAsia="Times New Roman" w:cs="Times New Roman"/>
          <w:lang w:val="en-US"/>
        </w:rPr>
        <w:t xml:space="preserve">Dispose of unused, wrapped, capped needles </w:t>
      </w:r>
      <w:r w:rsidR="00F6352B" w:rsidRPr="00F6352B">
        <w:rPr>
          <w:rFonts w:eastAsia="Times New Roman" w:cs="Times New Roman"/>
          <w:u w:val="single"/>
          <w:lang w:val="en-US"/>
        </w:rPr>
        <w:t>as-is</w:t>
      </w:r>
      <w:r w:rsidR="00F6352B" w:rsidRPr="00F6352B">
        <w:rPr>
          <w:rFonts w:eastAsia="Times New Roman" w:cs="Times New Roman"/>
          <w:lang w:val="en-US"/>
        </w:rPr>
        <w:t xml:space="preserve"> into sharps containers if required.</w:t>
      </w:r>
    </w:p>
    <w:sectPr w:rsidR="00F6352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22D53" w14:textId="77777777" w:rsidR="00525564" w:rsidRDefault="00525564" w:rsidP="00696DF8">
      <w:r>
        <w:separator/>
      </w:r>
    </w:p>
  </w:endnote>
  <w:endnote w:type="continuationSeparator" w:id="0">
    <w:p w14:paraId="1F4E0BC8" w14:textId="77777777" w:rsidR="00525564" w:rsidRDefault="00525564" w:rsidP="0069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0109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AE0D54" w14:textId="58AE62AF" w:rsidR="00696DF8" w:rsidRDefault="00696DF8" w:rsidP="00FA42DC">
            <w:pPr>
              <w:pStyle w:val="Foo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5E8512" wp14:editId="7823E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-96529</wp:posOffset>
                      </wp:positionV>
                      <wp:extent cx="5936615" cy="45719"/>
                      <wp:effectExtent l="0" t="0" r="6985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661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B47A" id="Rectangle 5" o:spid="_x0000_s1026" style="position:absolute;margin-left:0;margin-top:-7.6pt;width:467.4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" fillcolor="#943634 [2405]" stroked="f" strokeweight="2pt"/>
                  </w:pict>
                </mc:Fallback>
              </mc:AlternateContent>
            </w:r>
            <w:proofErr w:type="spellStart"/>
            <w:r w:rsidR="0092755F">
              <w:t>Policy</w:t>
            </w:r>
            <w:r w:rsidR="00087026">
              <w:t>ID</w:t>
            </w:r>
            <w:proofErr w:type="spellEnd"/>
            <w:r w:rsidR="00D508B4">
              <w:t>:</w:t>
            </w:r>
            <w:r w:rsidR="00087026">
              <w:t xml:space="preserve"> </w:t>
            </w:r>
            <w:r w:rsidR="00810F11">
              <w:t>Equipment</w:t>
            </w:r>
            <w:r w:rsidR="00FA42DC">
              <w:tab/>
            </w:r>
            <w:r w:rsidR="005F3A40">
              <w:t>Jan</w:t>
            </w:r>
            <w:r w:rsidR="00305F75">
              <w:t>. 20</w:t>
            </w:r>
            <w:r w:rsidR="00D113E8">
              <w:t>21</w:t>
            </w:r>
            <w:r w:rsidR="00FA42DC"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47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47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421A4C" w14:textId="77777777" w:rsidR="00696DF8" w:rsidRDefault="00696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53EC9" w14:textId="77777777" w:rsidR="00525564" w:rsidRDefault="00525564" w:rsidP="00696DF8">
      <w:r>
        <w:separator/>
      </w:r>
    </w:p>
  </w:footnote>
  <w:footnote w:type="continuationSeparator" w:id="0">
    <w:p w14:paraId="2ACB93AD" w14:textId="77777777" w:rsidR="00525564" w:rsidRDefault="00525564" w:rsidP="0069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3265" w14:textId="77777777" w:rsidR="00696DF8" w:rsidRDefault="00696DF8">
    <w:pPr>
      <w:pStyle w:val="Header"/>
    </w:pPr>
    <w:r>
      <w:rPr>
        <w:noProof/>
        <w:lang w:eastAsia="en-CA"/>
      </w:rPr>
      <w:drawing>
        <wp:inline distT="0" distB="0" distL="0" distR="0" wp14:anchorId="72DD299E" wp14:editId="299295D3">
          <wp:extent cx="2875042" cy="829339"/>
          <wp:effectExtent l="0" t="0" r="190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506" cy="83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CA"/>
      </w:rPr>
      <w:drawing>
        <wp:inline distT="0" distB="0" distL="0" distR="0" wp14:anchorId="778A8A34" wp14:editId="18E4E2D5">
          <wp:extent cx="1500129" cy="829339"/>
          <wp:effectExtent l="0" t="0" r="508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master full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963" cy="82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920FD" w14:textId="77777777" w:rsidR="00696DF8" w:rsidRDefault="00696DF8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EB543" wp14:editId="3DDC8170">
              <wp:simplePos x="0" y="0"/>
              <wp:positionH relativeFrom="column">
                <wp:posOffset>1</wp:posOffset>
              </wp:positionH>
              <wp:positionV relativeFrom="paragraph">
                <wp:posOffset>158883</wp:posOffset>
              </wp:positionV>
              <wp:extent cx="5936776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6776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AA02D" id="Rectangle 1" o:spid="_x0000_s1026" style="position:absolute;margin-left:0;margin-top:12.5pt;width:467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" fillcolor="#943634 [2405]" stroked="f" strokeweight="2pt"/>
          </w:pict>
        </mc:Fallback>
      </mc:AlternateContent>
    </w:r>
  </w:p>
  <w:p w14:paraId="6DF34AA5" w14:textId="77777777" w:rsidR="00696DF8" w:rsidRDefault="00696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4AD"/>
    <w:multiLevelType w:val="multilevel"/>
    <w:tmpl w:val="047C7DD6"/>
    <w:styleLink w:val="StyleHeadings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cs="Times New Roman" w:hint="default"/>
      </w:rPr>
    </w:lvl>
  </w:abstractNum>
  <w:abstractNum w:abstractNumId="1" w15:restartNumberingAfterBreak="0">
    <w:nsid w:val="046B1991"/>
    <w:multiLevelType w:val="hybridMultilevel"/>
    <w:tmpl w:val="356867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7810"/>
    <w:multiLevelType w:val="hybridMultilevel"/>
    <w:tmpl w:val="B9E291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30FD"/>
    <w:multiLevelType w:val="hybridMultilevel"/>
    <w:tmpl w:val="539A98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00311C"/>
    <w:multiLevelType w:val="hybridMultilevel"/>
    <w:tmpl w:val="9E7474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F43EDC"/>
    <w:multiLevelType w:val="hybridMultilevel"/>
    <w:tmpl w:val="90A2260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47505ED"/>
    <w:multiLevelType w:val="hybridMultilevel"/>
    <w:tmpl w:val="F6C20F3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5591AC5"/>
    <w:multiLevelType w:val="hybridMultilevel"/>
    <w:tmpl w:val="6B88D2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07DF2"/>
    <w:multiLevelType w:val="hybridMultilevel"/>
    <w:tmpl w:val="E3E41E1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7FC5"/>
    <w:multiLevelType w:val="hybridMultilevel"/>
    <w:tmpl w:val="13C0F7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82CAD"/>
    <w:multiLevelType w:val="hybridMultilevel"/>
    <w:tmpl w:val="B18E10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2A86"/>
    <w:multiLevelType w:val="hybridMultilevel"/>
    <w:tmpl w:val="FDDC92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F2B347B"/>
    <w:multiLevelType w:val="hybridMultilevel"/>
    <w:tmpl w:val="F03850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04ED2"/>
    <w:multiLevelType w:val="hybridMultilevel"/>
    <w:tmpl w:val="0454897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23A6ED5"/>
    <w:multiLevelType w:val="hybridMultilevel"/>
    <w:tmpl w:val="68D88E16"/>
    <w:lvl w:ilvl="0" w:tplc="6B202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EE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6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C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AD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02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2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0B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206899"/>
    <w:multiLevelType w:val="hybridMultilevel"/>
    <w:tmpl w:val="F03850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91709"/>
    <w:multiLevelType w:val="hybridMultilevel"/>
    <w:tmpl w:val="D298C27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2C51F0D"/>
    <w:multiLevelType w:val="hybridMultilevel"/>
    <w:tmpl w:val="F53C94F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CE4530E"/>
    <w:multiLevelType w:val="hybridMultilevel"/>
    <w:tmpl w:val="9128328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D263D5F"/>
    <w:multiLevelType w:val="hybridMultilevel"/>
    <w:tmpl w:val="5694F0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F422DF0"/>
    <w:multiLevelType w:val="hybridMultilevel"/>
    <w:tmpl w:val="C32C11C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F5873BB"/>
    <w:multiLevelType w:val="hybridMultilevel"/>
    <w:tmpl w:val="F03850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57914"/>
    <w:multiLevelType w:val="hybridMultilevel"/>
    <w:tmpl w:val="C04A901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5D03461"/>
    <w:multiLevelType w:val="multilevel"/>
    <w:tmpl w:val="F1608426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2">
      <w:start w:val="1"/>
      <w:numFmt w:val="decimal"/>
      <w:pStyle w:val="Heading3"/>
      <w:lvlText w:val="%1.%2.%3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ascii="Arial" w:hAnsi="Arial" w:cs="Times New Roman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cs="Times New Roman" w:hint="default"/>
      </w:rPr>
    </w:lvl>
  </w:abstractNum>
  <w:abstractNum w:abstractNumId="24" w15:restartNumberingAfterBreak="0">
    <w:nsid w:val="65EE2082"/>
    <w:multiLevelType w:val="hybridMultilevel"/>
    <w:tmpl w:val="0EF4E58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7AA780E"/>
    <w:multiLevelType w:val="hybridMultilevel"/>
    <w:tmpl w:val="502C39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9271126"/>
    <w:multiLevelType w:val="hybridMultilevel"/>
    <w:tmpl w:val="0426968C"/>
    <w:lvl w:ilvl="0" w:tplc="EC4A7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40D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0F88E">
      <w:start w:val="7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61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4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48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6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03291B"/>
    <w:multiLevelType w:val="hybridMultilevel"/>
    <w:tmpl w:val="350C723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26"/>
  </w:num>
  <w:num w:numId="5">
    <w:abstractNumId w:val="0"/>
  </w:num>
  <w:num w:numId="6">
    <w:abstractNumId w:val="22"/>
  </w:num>
  <w:num w:numId="7">
    <w:abstractNumId w:val="4"/>
  </w:num>
  <w:num w:numId="8">
    <w:abstractNumId w:val="6"/>
  </w:num>
  <w:num w:numId="9">
    <w:abstractNumId w:val="27"/>
  </w:num>
  <w:num w:numId="10">
    <w:abstractNumId w:val="17"/>
  </w:num>
  <w:num w:numId="11">
    <w:abstractNumId w:val="25"/>
  </w:num>
  <w:num w:numId="12">
    <w:abstractNumId w:val="20"/>
  </w:num>
  <w:num w:numId="13">
    <w:abstractNumId w:val="1"/>
  </w:num>
  <w:num w:numId="14">
    <w:abstractNumId w:val="9"/>
  </w:num>
  <w:num w:numId="15">
    <w:abstractNumId w:val="5"/>
  </w:num>
  <w:num w:numId="16">
    <w:abstractNumId w:val="3"/>
  </w:num>
  <w:num w:numId="17">
    <w:abstractNumId w:val="18"/>
  </w:num>
  <w:num w:numId="18">
    <w:abstractNumId w:val="13"/>
  </w:num>
  <w:num w:numId="19">
    <w:abstractNumId w:val="11"/>
  </w:num>
  <w:num w:numId="20">
    <w:abstractNumId w:val="16"/>
  </w:num>
  <w:num w:numId="21">
    <w:abstractNumId w:val="19"/>
  </w:num>
  <w:num w:numId="22">
    <w:abstractNumId w:val="10"/>
  </w:num>
  <w:num w:numId="23">
    <w:abstractNumId w:val="15"/>
  </w:num>
  <w:num w:numId="24">
    <w:abstractNumId w:val="8"/>
  </w:num>
  <w:num w:numId="25">
    <w:abstractNumId w:val="7"/>
  </w:num>
  <w:num w:numId="26">
    <w:abstractNumId w:val="21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F8"/>
    <w:rsid w:val="00044C18"/>
    <w:rsid w:val="00047B11"/>
    <w:rsid w:val="00077162"/>
    <w:rsid w:val="00087026"/>
    <w:rsid w:val="000C47C3"/>
    <w:rsid w:val="000F49C9"/>
    <w:rsid w:val="00126071"/>
    <w:rsid w:val="0014601D"/>
    <w:rsid w:val="0015717F"/>
    <w:rsid w:val="00243F45"/>
    <w:rsid w:val="002B47A9"/>
    <w:rsid w:val="00305F75"/>
    <w:rsid w:val="003078F3"/>
    <w:rsid w:val="0032591C"/>
    <w:rsid w:val="003C1FD0"/>
    <w:rsid w:val="003D26C6"/>
    <w:rsid w:val="003D77CB"/>
    <w:rsid w:val="00422F7F"/>
    <w:rsid w:val="004655CC"/>
    <w:rsid w:val="00506ABA"/>
    <w:rsid w:val="00525564"/>
    <w:rsid w:val="00540896"/>
    <w:rsid w:val="005501B5"/>
    <w:rsid w:val="005574E0"/>
    <w:rsid w:val="0056533A"/>
    <w:rsid w:val="00574340"/>
    <w:rsid w:val="00584829"/>
    <w:rsid w:val="005856B9"/>
    <w:rsid w:val="005B0B48"/>
    <w:rsid w:val="005F3A40"/>
    <w:rsid w:val="00696DF8"/>
    <w:rsid w:val="006F00C2"/>
    <w:rsid w:val="007114FD"/>
    <w:rsid w:val="00712464"/>
    <w:rsid w:val="00753574"/>
    <w:rsid w:val="007704EB"/>
    <w:rsid w:val="007926FA"/>
    <w:rsid w:val="00794D7D"/>
    <w:rsid w:val="00796576"/>
    <w:rsid w:val="007A27CC"/>
    <w:rsid w:val="007C251C"/>
    <w:rsid w:val="007C3343"/>
    <w:rsid w:val="007C70C0"/>
    <w:rsid w:val="007E1173"/>
    <w:rsid w:val="00802B96"/>
    <w:rsid w:val="00806272"/>
    <w:rsid w:val="00810F11"/>
    <w:rsid w:val="008C1A36"/>
    <w:rsid w:val="008F4B87"/>
    <w:rsid w:val="008F70CA"/>
    <w:rsid w:val="009064E3"/>
    <w:rsid w:val="009235DE"/>
    <w:rsid w:val="0092755F"/>
    <w:rsid w:val="00940D3F"/>
    <w:rsid w:val="00951C8E"/>
    <w:rsid w:val="009C615C"/>
    <w:rsid w:val="009E1800"/>
    <w:rsid w:val="009F365B"/>
    <w:rsid w:val="00A221F6"/>
    <w:rsid w:val="00A22F72"/>
    <w:rsid w:val="00AB4213"/>
    <w:rsid w:val="00C770EA"/>
    <w:rsid w:val="00C81890"/>
    <w:rsid w:val="00CA623F"/>
    <w:rsid w:val="00CB52F6"/>
    <w:rsid w:val="00CD576B"/>
    <w:rsid w:val="00D113E8"/>
    <w:rsid w:val="00D508B4"/>
    <w:rsid w:val="00D61624"/>
    <w:rsid w:val="00D768CC"/>
    <w:rsid w:val="00DC6F1E"/>
    <w:rsid w:val="00E2795B"/>
    <w:rsid w:val="00E76274"/>
    <w:rsid w:val="00E83467"/>
    <w:rsid w:val="00ED1750"/>
    <w:rsid w:val="00ED450A"/>
    <w:rsid w:val="00EF37A5"/>
    <w:rsid w:val="00F6352B"/>
    <w:rsid w:val="00F85F31"/>
    <w:rsid w:val="00FA42DC"/>
    <w:rsid w:val="00FB4CB6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6052"/>
  <w15:docId w15:val="{08D85699-D48E-436E-B22B-0C90ECA8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7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305F75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05F75"/>
    <w:pPr>
      <w:numPr>
        <w:ilvl w:val="1"/>
        <w:numId w:val="1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305F75"/>
    <w:pPr>
      <w:numPr>
        <w:ilvl w:val="2"/>
        <w:numId w:val="1"/>
      </w:numPr>
      <w:spacing w:before="120" w:after="60" w:line="240" w:lineRule="auto"/>
      <w:outlineLvl w:val="2"/>
    </w:pPr>
    <w:rPr>
      <w:rFonts w:ascii="Arial" w:eastAsiaTheme="majorEastAsia" w:hAnsi="Arial" w:cstheme="majorBidi"/>
      <w:b/>
      <w:sz w:val="24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305F75"/>
    <w:pPr>
      <w:numPr>
        <w:ilvl w:val="3"/>
        <w:numId w:val="1"/>
      </w:numPr>
      <w:spacing w:before="120" w:after="60" w:line="240" w:lineRule="auto"/>
      <w:outlineLvl w:val="3"/>
    </w:pPr>
    <w:rPr>
      <w:rFonts w:ascii="Times New Roman" w:eastAsiaTheme="majorEastAsia" w:hAnsi="Times New Roman" w:cstheme="majorBidi"/>
      <w:b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F8"/>
  </w:style>
  <w:style w:type="paragraph" w:styleId="Footer">
    <w:name w:val="footer"/>
    <w:basedOn w:val="Normal"/>
    <w:link w:val="FooterChar"/>
    <w:uiPriority w:val="99"/>
    <w:unhideWhenUsed/>
    <w:rsid w:val="0069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F8"/>
  </w:style>
  <w:style w:type="paragraph" w:styleId="BalloonText">
    <w:name w:val="Balloon Text"/>
    <w:basedOn w:val="Normal"/>
    <w:link w:val="BalloonTextChar"/>
    <w:uiPriority w:val="99"/>
    <w:semiHidden/>
    <w:unhideWhenUsed/>
    <w:rsid w:val="0069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5F7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F75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F75"/>
    <w:rPr>
      <w:rFonts w:ascii="Arial" w:eastAsiaTheme="majorEastAsia" w:hAnsi="Arial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5F75"/>
    <w:rPr>
      <w:rFonts w:ascii="Times New Roman" w:eastAsiaTheme="majorEastAsia" w:hAnsi="Times New Roman" w:cstheme="majorBidi"/>
      <w:b/>
      <w:i/>
      <w:iCs/>
      <w:sz w:val="24"/>
      <w:szCs w:val="28"/>
    </w:rPr>
  </w:style>
  <w:style w:type="table" w:styleId="TableGrid">
    <w:name w:val="Table Grid"/>
    <w:basedOn w:val="TableNormal"/>
    <w:uiPriority w:val="59"/>
    <w:rsid w:val="00305F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F75"/>
    <w:pPr>
      <w:ind w:left="720"/>
      <w:contextualSpacing/>
    </w:pPr>
  </w:style>
  <w:style w:type="numbering" w:customStyle="1" w:styleId="StyleHeadings">
    <w:name w:val="StyleHeadings"/>
    <w:uiPriority w:val="99"/>
    <w:rsid w:val="00F85F31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70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4E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4E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Princz, Marta</cp:lastModifiedBy>
  <cp:revision>23</cp:revision>
  <cp:lastPrinted>2017-02-14T16:30:00Z</cp:lastPrinted>
  <dcterms:created xsi:type="dcterms:W3CDTF">2016-10-25T16:33:00Z</dcterms:created>
  <dcterms:modified xsi:type="dcterms:W3CDTF">2021-04-13T14:47:00Z</dcterms:modified>
</cp:coreProperties>
</file>