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C731" w14:textId="5011BE1B" w:rsidR="00422F7F" w:rsidRDefault="00422F7F" w:rsidP="00422F7F">
      <w:pPr>
        <w:pStyle w:val="Heading1"/>
        <w:rPr>
          <w:rFonts w:cs="Arial"/>
        </w:rPr>
      </w:pPr>
      <w:bookmarkStart w:id="0" w:name="_Toc370997409"/>
      <w:r w:rsidRPr="00A26898">
        <w:rPr>
          <w:rFonts w:cs="Arial"/>
        </w:rPr>
        <w:t xml:space="preserve">BI </w:t>
      </w:r>
      <w:r w:rsidR="00562A90">
        <w:rPr>
          <w:rFonts w:cs="Arial"/>
        </w:rPr>
        <w:t>Substance</w:t>
      </w:r>
      <w:r w:rsidR="00BD6198">
        <w:rPr>
          <w:rFonts w:cs="Arial"/>
        </w:rPr>
        <w:t>s</w:t>
      </w:r>
      <w:r w:rsidRPr="00A26898">
        <w:rPr>
          <w:rFonts w:cs="Arial"/>
        </w:rPr>
        <w:t xml:space="preserve"> Policy</w:t>
      </w:r>
      <w:bookmarkEnd w:id="0"/>
    </w:p>
    <w:p w14:paraId="2B068E8D" w14:textId="018F3F9B" w:rsidR="00D42FC6" w:rsidRDefault="00880CD8" w:rsidP="00A5371E">
      <w:pPr>
        <w:pStyle w:val="ListParagraph"/>
        <w:numPr>
          <w:ilvl w:val="0"/>
          <w:numId w:val="16"/>
        </w:numPr>
        <w:ind w:left="567"/>
      </w:pPr>
      <w:r>
        <w:t>This policy pertains to a</w:t>
      </w:r>
      <w:r w:rsidR="00D77933">
        <w:t xml:space="preserve">ll hazardous and biohazardous </w:t>
      </w:r>
      <w:r>
        <w:t>materials</w:t>
      </w:r>
      <w:r w:rsidR="00D77933">
        <w:t xml:space="preserve"> </w:t>
      </w:r>
      <w:r>
        <w:t>brought into or stored</w:t>
      </w:r>
      <w:r w:rsidR="00D42FC6">
        <w:t xml:space="preserve"> in BI laboratories.</w:t>
      </w:r>
    </w:p>
    <w:p w14:paraId="1C8DA07E" w14:textId="6B45A328" w:rsidR="00880CD8" w:rsidRPr="00880CD8" w:rsidRDefault="00880CD8" w:rsidP="00A5371E">
      <w:pPr>
        <w:pStyle w:val="ListParagraph"/>
        <w:numPr>
          <w:ilvl w:val="0"/>
          <w:numId w:val="16"/>
        </w:numPr>
        <w:ind w:left="567"/>
        <w:rPr>
          <w:rFonts w:cs="Arial"/>
        </w:rPr>
      </w:pPr>
      <w:r>
        <w:t>Individuals that handle hazardous materials should be trained in the safe handling, separation, storage</w:t>
      </w:r>
      <w:r w:rsidR="00C54F9D">
        <w:t>,</w:t>
      </w:r>
      <w:r>
        <w:t xml:space="preserve"> and disposal procedures for the specific hazardous materials, as per </w:t>
      </w:r>
      <w:r w:rsidRPr="00C515B8">
        <w:rPr>
          <w:u w:val="single"/>
        </w:rPr>
        <w:t>RMM #501: Hazardous Materials Management Systems Including WHMIS Program</w:t>
      </w:r>
      <w:r>
        <w:t>.</w:t>
      </w:r>
    </w:p>
    <w:p w14:paraId="1CC8D259" w14:textId="343D972F" w:rsidR="00880CD8" w:rsidRDefault="00880CD8" w:rsidP="00A5371E">
      <w:pPr>
        <w:pStyle w:val="ListParagraph"/>
        <w:numPr>
          <w:ilvl w:val="0"/>
          <w:numId w:val="16"/>
        </w:numPr>
        <w:ind w:left="567"/>
        <w:rPr>
          <w:rFonts w:cs="Arial"/>
        </w:rPr>
      </w:pPr>
      <w:r w:rsidRPr="00A26898">
        <w:rPr>
          <w:rFonts w:cs="Arial"/>
        </w:rPr>
        <w:t xml:space="preserve">Designated substances must be </w:t>
      </w:r>
      <w:r>
        <w:rPr>
          <w:rFonts w:cs="Arial"/>
        </w:rPr>
        <w:t xml:space="preserve">identified and </w:t>
      </w:r>
      <w:r w:rsidRPr="00A26898">
        <w:rPr>
          <w:rFonts w:cs="Arial"/>
        </w:rPr>
        <w:t xml:space="preserve">accompanied by a written risk assessment, which must be approved by the health and safety authorities. Refer to </w:t>
      </w:r>
      <w:r w:rsidRPr="00C515B8">
        <w:rPr>
          <w:rFonts w:cs="Arial"/>
          <w:u w:val="single"/>
        </w:rPr>
        <w:t>RMM #500: Designated Substances Control Program</w:t>
      </w:r>
      <w:r w:rsidRPr="00A26898">
        <w:rPr>
          <w:rFonts w:cs="Arial"/>
        </w:rPr>
        <w:t>.</w:t>
      </w:r>
    </w:p>
    <w:p w14:paraId="0B1E056D" w14:textId="77777777" w:rsidR="00880CD8" w:rsidRPr="00A26898" w:rsidRDefault="00880CD8" w:rsidP="00A5371E">
      <w:pPr>
        <w:pStyle w:val="ListParagraph"/>
        <w:numPr>
          <w:ilvl w:val="0"/>
          <w:numId w:val="16"/>
        </w:numPr>
        <w:ind w:left="567"/>
        <w:rPr>
          <w:rFonts w:cs="Arial"/>
        </w:rPr>
      </w:pPr>
      <w:r>
        <w:rPr>
          <w:rFonts w:cs="Arial"/>
        </w:rPr>
        <w:t xml:space="preserve">Transportation of Dangerous Goods should be in accordance with </w:t>
      </w:r>
      <w:r w:rsidRPr="00C515B8">
        <w:rPr>
          <w:rFonts w:cs="Arial"/>
          <w:u w:val="single"/>
        </w:rPr>
        <w:t>RMM #505: Transportation of Dangerous Goods</w:t>
      </w:r>
      <w:r>
        <w:rPr>
          <w:rFonts w:cs="Arial"/>
        </w:rPr>
        <w:t>.</w:t>
      </w:r>
    </w:p>
    <w:p w14:paraId="49BC7A5D" w14:textId="6991173C" w:rsidR="00880CD8" w:rsidRPr="00B82FBE" w:rsidRDefault="00880CD8" w:rsidP="00A5371E">
      <w:pPr>
        <w:pStyle w:val="ListParagraph"/>
        <w:numPr>
          <w:ilvl w:val="0"/>
          <w:numId w:val="16"/>
        </w:numPr>
        <w:ind w:left="567"/>
        <w:rPr>
          <w:rFonts w:cs="Arial"/>
        </w:rPr>
      </w:pPr>
      <w:r>
        <w:t>Individuals that handle biohazardous materials should be trained in the safe handling, separation, storage</w:t>
      </w:r>
      <w:r w:rsidR="00C54F9D">
        <w:t>,</w:t>
      </w:r>
      <w:r>
        <w:t xml:space="preserve"> and disposal procedures for the specific biohazardous materials, as per </w:t>
      </w:r>
      <w:r w:rsidRPr="00880CD8">
        <w:rPr>
          <w:u w:val="single"/>
        </w:rPr>
        <w:t>RMM #600: Biosafety Program</w:t>
      </w:r>
      <w:r>
        <w:t>.</w:t>
      </w:r>
    </w:p>
    <w:p w14:paraId="35977258" w14:textId="7573C689" w:rsidR="00034305" w:rsidRDefault="00034305" w:rsidP="00A5371E">
      <w:pPr>
        <w:pStyle w:val="ListParagraph"/>
        <w:numPr>
          <w:ilvl w:val="0"/>
          <w:numId w:val="16"/>
        </w:numPr>
        <w:ind w:left="567"/>
      </w:pPr>
      <w:r>
        <w:t>Any unauthorized or non-inventoried substances found in the BI laboratory will be disposed of or destroyed appropriately, with financial responsibility falling to the users and their respective supervisor.</w:t>
      </w:r>
    </w:p>
    <w:p w14:paraId="75947D29" w14:textId="48AF905C" w:rsidR="006A0061" w:rsidRDefault="006A0061" w:rsidP="00A5371E">
      <w:pPr>
        <w:pStyle w:val="ListParagraph"/>
        <w:numPr>
          <w:ilvl w:val="0"/>
          <w:numId w:val="16"/>
        </w:numPr>
        <w:ind w:left="567"/>
      </w:pPr>
      <w:r>
        <w:t>BI Users must comply with McMaster’s HECHMET inventory system in BI laboratories. Refer to EOHSS for more information and consult BI staff as needed.</w:t>
      </w:r>
    </w:p>
    <w:p w14:paraId="0E0A5983" w14:textId="77777777" w:rsidR="00422F7F" w:rsidRPr="00A26898" w:rsidRDefault="00562A90" w:rsidP="00562A90">
      <w:pPr>
        <w:pStyle w:val="Heading2"/>
      </w:pPr>
      <w:bookmarkStart w:id="1" w:name="_Toc370997410"/>
      <w:r>
        <w:t>Substance</w:t>
      </w:r>
      <w:r w:rsidR="00422F7F" w:rsidRPr="00A26898">
        <w:t xml:space="preserve"> Labelling</w:t>
      </w:r>
      <w:bookmarkEnd w:id="1"/>
      <w:r w:rsidR="00422F7F" w:rsidRPr="00A26898">
        <w:t xml:space="preserve"> </w:t>
      </w:r>
    </w:p>
    <w:p w14:paraId="68D63F78" w14:textId="74DE7E5E" w:rsidR="0022644B" w:rsidRPr="00D77933" w:rsidRDefault="00D77933" w:rsidP="00A5371E">
      <w:pPr>
        <w:pStyle w:val="ListParagraph"/>
        <w:numPr>
          <w:ilvl w:val="0"/>
          <w:numId w:val="11"/>
        </w:numPr>
        <w:ind w:left="567"/>
        <w:rPr>
          <w:rFonts w:cs="Arial"/>
        </w:rPr>
      </w:pPr>
      <w:r>
        <w:rPr>
          <w:rFonts w:cs="Arial"/>
        </w:rPr>
        <w:t>Hazardous materials</w:t>
      </w:r>
      <w:r w:rsidR="001B74C8" w:rsidRPr="00D77933">
        <w:rPr>
          <w:rFonts w:cs="Arial"/>
        </w:rPr>
        <w:t xml:space="preserve"> will be </w:t>
      </w:r>
      <w:r w:rsidR="00880CD8">
        <w:rPr>
          <w:rFonts w:cs="Arial"/>
        </w:rPr>
        <w:t xml:space="preserve">labelled </w:t>
      </w:r>
      <w:r w:rsidR="001B74C8" w:rsidRPr="00D77933">
        <w:rPr>
          <w:rFonts w:cs="Arial"/>
        </w:rPr>
        <w:t>in accordance with W</w:t>
      </w:r>
      <w:r w:rsidR="00A82A38" w:rsidRPr="00D77933">
        <w:rPr>
          <w:rFonts w:cs="Arial"/>
        </w:rPr>
        <w:t xml:space="preserve">HMIS </w:t>
      </w:r>
      <w:r w:rsidR="00D42FC6" w:rsidRPr="00D77933">
        <w:rPr>
          <w:rFonts w:cs="Arial"/>
        </w:rPr>
        <w:t>2015 standards</w:t>
      </w:r>
      <w:r w:rsidR="00A82A38" w:rsidRPr="00D77933">
        <w:rPr>
          <w:rFonts w:cs="Arial"/>
        </w:rPr>
        <w:t xml:space="preserve"> </w:t>
      </w:r>
      <w:r w:rsidR="00D42FC6" w:rsidRPr="00D77933">
        <w:rPr>
          <w:rFonts w:cs="Arial"/>
        </w:rPr>
        <w:t xml:space="preserve">to include supplier and </w:t>
      </w:r>
      <w:r w:rsidRPr="00D77933">
        <w:rPr>
          <w:rFonts w:cs="Arial"/>
        </w:rPr>
        <w:t>secondary container</w:t>
      </w:r>
      <w:r w:rsidR="00D42FC6" w:rsidRPr="00D77933">
        <w:rPr>
          <w:rFonts w:cs="Arial"/>
        </w:rPr>
        <w:t xml:space="preserve"> labels.</w:t>
      </w:r>
      <w:r w:rsidRPr="00D77933">
        <w:rPr>
          <w:rFonts w:cs="Arial"/>
        </w:rPr>
        <w:t xml:space="preserve"> L</w:t>
      </w:r>
      <w:r w:rsidR="00D42FC6" w:rsidRPr="00D77933">
        <w:rPr>
          <w:rFonts w:cs="Arial"/>
        </w:rPr>
        <w:t>abels are available from</w:t>
      </w:r>
      <w:r w:rsidRPr="00D77933">
        <w:rPr>
          <w:rFonts w:cs="Arial"/>
        </w:rPr>
        <w:t xml:space="preserve"> BI staff and</w:t>
      </w:r>
      <w:r w:rsidR="00D42FC6" w:rsidRPr="00D77933">
        <w:rPr>
          <w:rFonts w:cs="Arial"/>
        </w:rPr>
        <w:t xml:space="preserve"> </w:t>
      </w:r>
      <w:r w:rsidRPr="00D77933">
        <w:rPr>
          <w:rFonts w:cs="Arial"/>
        </w:rPr>
        <w:t>EOHSS.</w:t>
      </w:r>
      <w:r w:rsidR="00D42FC6" w:rsidRPr="00D77933">
        <w:rPr>
          <w:rFonts w:cs="Arial"/>
        </w:rPr>
        <w:t xml:space="preserve"> </w:t>
      </w:r>
      <w:r w:rsidRPr="00D77933">
        <w:rPr>
          <w:rFonts w:cs="Arial"/>
        </w:rPr>
        <w:t>Secondary container labels must also the</w:t>
      </w:r>
      <w:r w:rsidR="0022644B" w:rsidRPr="00D77933">
        <w:rPr>
          <w:rFonts w:cs="Arial"/>
        </w:rPr>
        <w:t xml:space="preserve"> date</w:t>
      </w:r>
      <w:r w:rsidR="00D42FC6" w:rsidRPr="00D77933">
        <w:rPr>
          <w:rFonts w:cs="Arial"/>
        </w:rPr>
        <w:t xml:space="preserve"> and </w:t>
      </w:r>
      <w:r w:rsidRPr="00D77933">
        <w:rPr>
          <w:rFonts w:cs="Arial"/>
        </w:rPr>
        <w:t xml:space="preserve">owner name. </w:t>
      </w:r>
      <w:r w:rsidR="0022644B" w:rsidRPr="00D77933">
        <w:rPr>
          <w:rFonts w:cs="Arial"/>
        </w:rPr>
        <w:t xml:space="preserve">If applicable, </w:t>
      </w:r>
      <w:r>
        <w:rPr>
          <w:rFonts w:cs="Arial"/>
        </w:rPr>
        <w:t>include</w:t>
      </w:r>
      <w:r w:rsidR="0022644B" w:rsidRPr="00D77933">
        <w:rPr>
          <w:rFonts w:cs="Arial"/>
        </w:rPr>
        <w:t xml:space="preserve"> the BI identifier number on t</w:t>
      </w:r>
      <w:r>
        <w:rPr>
          <w:rFonts w:cs="Arial"/>
        </w:rPr>
        <w:t xml:space="preserve">he </w:t>
      </w:r>
      <w:r w:rsidR="0022644B" w:rsidRPr="00D77933">
        <w:rPr>
          <w:rFonts w:cs="Arial"/>
        </w:rPr>
        <w:t>label.</w:t>
      </w:r>
    </w:p>
    <w:p w14:paraId="2364F5AE" w14:textId="77777777" w:rsidR="00880CD8" w:rsidRDefault="00880CD8" w:rsidP="00A5371E">
      <w:pPr>
        <w:pStyle w:val="ListParagraph"/>
        <w:numPr>
          <w:ilvl w:val="0"/>
          <w:numId w:val="11"/>
        </w:numPr>
        <w:ind w:left="567"/>
        <w:rPr>
          <w:rFonts w:cs="Arial"/>
        </w:rPr>
      </w:pPr>
      <w:r>
        <w:rPr>
          <w:rFonts w:cs="Arial"/>
        </w:rPr>
        <w:t xml:space="preserve">Biohazardous materials require the name, date, substance name and biosafety level designation. Refer to the </w:t>
      </w:r>
      <w:r w:rsidRPr="0022644B">
        <w:rPr>
          <w:rFonts w:cs="Arial"/>
          <w:u w:val="single"/>
        </w:rPr>
        <w:t>BI Biohazard Work Policy</w:t>
      </w:r>
      <w:r>
        <w:rPr>
          <w:rFonts w:cs="Arial"/>
        </w:rPr>
        <w:t>.</w:t>
      </w:r>
    </w:p>
    <w:p w14:paraId="7E4DD92C" w14:textId="7E35539A" w:rsidR="00422F7F" w:rsidRDefault="00422F7F" w:rsidP="00A5371E">
      <w:pPr>
        <w:pStyle w:val="ListParagraph"/>
        <w:numPr>
          <w:ilvl w:val="0"/>
          <w:numId w:val="11"/>
        </w:numPr>
        <w:ind w:left="567"/>
        <w:rPr>
          <w:rFonts w:cs="Arial"/>
        </w:rPr>
      </w:pPr>
      <w:r w:rsidRPr="00A26898">
        <w:rPr>
          <w:rFonts w:cs="Arial"/>
        </w:rPr>
        <w:t>Labels on contain</w:t>
      </w:r>
      <w:r w:rsidR="00562A90">
        <w:rPr>
          <w:rFonts w:cs="Arial"/>
        </w:rPr>
        <w:t>er</w:t>
      </w:r>
      <w:r w:rsidRPr="00A26898">
        <w:rPr>
          <w:rFonts w:cs="Arial"/>
        </w:rPr>
        <w:t xml:space="preserve">s </w:t>
      </w:r>
      <w:r w:rsidR="0022644B">
        <w:rPr>
          <w:rFonts w:cs="Arial"/>
        </w:rPr>
        <w:t>containing</w:t>
      </w:r>
      <w:r w:rsidRPr="00A26898">
        <w:rPr>
          <w:rFonts w:cs="Arial"/>
        </w:rPr>
        <w:t xml:space="preserve"> </w:t>
      </w:r>
      <w:r w:rsidR="0022644B">
        <w:rPr>
          <w:rFonts w:cs="Arial"/>
        </w:rPr>
        <w:t>substances</w:t>
      </w:r>
      <w:r w:rsidRPr="00A26898">
        <w:rPr>
          <w:rFonts w:cs="Arial"/>
        </w:rPr>
        <w:t xml:space="preserve"> </w:t>
      </w:r>
      <w:r w:rsidR="0022644B">
        <w:rPr>
          <w:rFonts w:cs="Arial"/>
        </w:rPr>
        <w:t>should</w:t>
      </w:r>
      <w:r w:rsidRPr="00A26898">
        <w:rPr>
          <w:rFonts w:cs="Arial"/>
        </w:rPr>
        <w:t xml:space="preserve"> not be removed or defaced</w:t>
      </w:r>
      <w:r w:rsidR="0022644B">
        <w:rPr>
          <w:rFonts w:cs="Arial"/>
        </w:rPr>
        <w:t>, unless the container is empty, cleaned</w:t>
      </w:r>
      <w:r w:rsidR="00C54F9D">
        <w:rPr>
          <w:rFonts w:cs="Arial"/>
        </w:rPr>
        <w:t>,</w:t>
      </w:r>
      <w:r w:rsidR="0022644B">
        <w:rPr>
          <w:rFonts w:cs="Arial"/>
        </w:rPr>
        <w:t xml:space="preserve"> and ready for disposal</w:t>
      </w:r>
      <w:r w:rsidRPr="00A26898">
        <w:rPr>
          <w:rFonts w:cs="Arial"/>
        </w:rPr>
        <w:t>.</w:t>
      </w:r>
    </w:p>
    <w:p w14:paraId="5E8D563F" w14:textId="255D98AD" w:rsidR="00422F7F" w:rsidRPr="00A26898" w:rsidRDefault="002E5774" w:rsidP="002E5774">
      <w:pPr>
        <w:pStyle w:val="Heading2"/>
      </w:pPr>
      <w:bookmarkStart w:id="2" w:name="_Toc370997411"/>
      <w:r>
        <w:t>Substance</w:t>
      </w:r>
      <w:r w:rsidR="00422F7F" w:rsidRPr="00A26898">
        <w:t xml:space="preserve"> Handling</w:t>
      </w:r>
      <w:bookmarkEnd w:id="2"/>
      <w:r w:rsidR="00422F7F" w:rsidRPr="00A26898">
        <w:t xml:space="preserve"> </w:t>
      </w:r>
      <w:r w:rsidR="00E90493">
        <w:t>&amp; Transportation</w:t>
      </w:r>
    </w:p>
    <w:p w14:paraId="2F40E79B" w14:textId="6801E60B" w:rsidR="00880CD8" w:rsidRDefault="00D77933" w:rsidP="00A5371E">
      <w:pPr>
        <w:pStyle w:val="ListParagraph"/>
        <w:numPr>
          <w:ilvl w:val="0"/>
          <w:numId w:val="12"/>
        </w:numPr>
        <w:ind w:left="567"/>
        <w:rPr>
          <w:rFonts w:cs="Arial"/>
        </w:rPr>
      </w:pPr>
      <w:r w:rsidRPr="00A26898">
        <w:rPr>
          <w:rFonts w:cs="Arial"/>
        </w:rPr>
        <w:t xml:space="preserve">Refer to the </w:t>
      </w:r>
      <w:r>
        <w:rPr>
          <w:rFonts w:cs="Arial"/>
        </w:rPr>
        <w:t xml:space="preserve">respective </w:t>
      </w:r>
      <w:r w:rsidRPr="00A26898">
        <w:rPr>
          <w:rFonts w:cs="Arial"/>
        </w:rPr>
        <w:t>SDS/PSDS</w:t>
      </w:r>
      <w:r w:rsidR="00880CD8">
        <w:rPr>
          <w:rFonts w:cs="Arial"/>
        </w:rPr>
        <w:t xml:space="preserve"> and risk assessments</w:t>
      </w:r>
      <w:r w:rsidRPr="00A26898">
        <w:rPr>
          <w:rFonts w:cs="Arial"/>
        </w:rPr>
        <w:t xml:space="preserve"> prior to handling any </w:t>
      </w:r>
      <w:r>
        <w:rPr>
          <w:rFonts w:cs="Arial"/>
        </w:rPr>
        <w:t>substance</w:t>
      </w:r>
      <w:r w:rsidRPr="00A26898">
        <w:rPr>
          <w:rFonts w:cs="Arial"/>
        </w:rPr>
        <w:t>.</w:t>
      </w:r>
      <w:r w:rsidR="00880CD8" w:rsidRPr="00880CD8">
        <w:rPr>
          <w:rFonts w:cs="Arial"/>
        </w:rPr>
        <w:t xml:space="preserve"> </w:t>
      </w:r>
      <w:r w:rsidR="00880CD8">
        <w:rPr>
          <w:rFonts w:cs="Arial"/>
        </w:rPr>
        <w:t xml:space="preserve">Biological agents must be handled according to the containment levels associated with its biosafety level. Refer to the </w:t>
      </w:r>
      <w:r w:rsidR="00880CD8" w:rsidRPr="00B82FBE">
        <w:rPr>
          <w:rFonts w:cs="Arial"/>
          <w:u w:val="single"/>
        </w:rPr>
        <w:t>BI Biohazard Work Policy</w:t>
      </w:r>
      <w:r w:rsidR="00880CD8">
        <w:rPr>
          <w:rFonts w:cs="Arial"/>
        </w:rPr>
        <w:t>.</w:t>
      </w:r>
    </w:p>
    <w:p w14:paraId="3AE80FF3" w14:textId="77777777" w:rsidR="00880CD8" w:rsidRPr="00A26898" w:rsidRDefault="00880CD8" w:rsidP="00A5371E">
      <w:pPr>
        <w:pStyle w:val="ListParagraph"/>
        <w:numPr>
          <w:ilvl w:val="0"/>
          <w:numId w:val="12"/>
        </w:numPr>
        <w:ind w:left="567"/>
        <w:rPr>
          <w:rFonts w:cs="Arial"/>
        </w:rPr>
      </w:pPr>
      <w:r>
        <w:rPr>
          <w:rFonts w:cs="Arial"/>
        </w:rPr>
        <w:t>Users may only use and/or handle</w:t>
      </w:r>
      <w:r w:rsidRPr="00A26898">
        <w:rPr>
          <w:rFonts w:cs="Arial"/>
        </w:rPr>
        <w:t xml:space="preserve"> </w:t>
      </w:r>
      <w:r>
        <w:rPr>
          <w:rFonts w:cs="Arial"/>
        </w:rPr>
        <w:t>substances for which they are authorized</w:t>
      </w:r>
      <w:r w:rsidRPr="00A26898">
        <w:rPr>
          <w:rFonts w:cs="Arial"/>
        </w:rPr>
        <w:t>.</w:t>
      </w:r>
    </w:p>
    <w:p w14:paraId="0DFC15F5" w14:textId="1AEDB7F2" w:rsidR="00B82FBE" w:rsidRPr="00A26898" w:rsidRDefault="00B82FBE" w:rsidP="00A5371E">
      <w:pPr>
        <w:pStyle w:val="ListParagraph"/>
        <w:numPr>
          <w:ilvl w:val="0"/>
          <w:numId w:val="12"/>
        </w:numPr>
        <w:ind w:left="567"/>
        <w:rPr>
          <w:rFonts w:cs="Arial"/>
        </w:rPr>
      </w:pPr>
      <w:r>
        <w:rPr>
          <w:rFonts w:cs="Arial"/>
        </w:rPr>
        <w:t>Users should inspect substance</w:t>
      </w:r>
      <w:r w:rsidR="00880CD8">
        <w:rPr>
          <w:rFonts w:cs="Arial"/>
        </w:rPr>
        <w:t xml:space="preserve"> container</w:t>
      </w:r>
      <w:r>
        <w:rPr>
          <w:rFonts w:cs="Arial"/>
        </w:rPr>
        <w:t>s prior to handling, to ensure</w:t>
      </w:r>
      <w:r w:rsidRPr="00A26898">
        <w:rPr>
          <w:rFonts w:cs="Arial"/>
        </w:rPr>
        <w:t xml:space="preserve"> </w:t>
      </w:r>
      <w:r>
        <w:rPr>
          <w:rFonts w:cs="Arial"/>
        </w:rPr>
        <w:t>the substance</w:t>
      </w:r>
      <w:r w:rsidRPr="00A26898">
        <w:rPr>
          <w:rFonts w:cs="Arial"/>
        </w:rPr>
        <w:t xml:space="preserve"> is not expired</w:t>
      </w:r>
      <w:r w:rsidR="00880CD8">
        <w:rPr>
          <w:rFonts w:cs="Arial"/>
        </w:rPr>
        <w:t xml:space="preserve">, </w:t>
      </w:r>
      <w:r>
        <w:rPr>
          <w:rFonts w:cs="Arial"/>
        </w:rPr>
        <w:t xml:space="preserve">unstable (e.g. </w:t>
      </w:r>
      <w:r w:rsidRPr="00A26898">
        <w:rPr>
          <w:rFonts w:cs="Arial"/>
        </w:rPr>
        <w:t>peroxide former</w:t>
      </w:r>
      <w:r>
        <w:rPr>
          <w:rFonts w:cs="Arial"/>
        </w:rPr>
        <w:t>)</w:t>
      </w:r>
      <w:r w:rsidR="00880CD8">
        <w:rPr>
          <w:rFonts w:cs="Arial"/>
        </w:rPr>
        <w:t xml:space="preserve"> or leaking.</w:t>
      </w:r>
    </w:p>
    <w:p w14:paraId="5D300050" w14:textId="34D3BAC7" w:rsidR="001B74C8" w:rsidRPr="00880CD8" w:rsidRDefault="00880CD8" w:rsidP="00A5371E">
      <w:pPr>
        <w:pStyle w:val="ListParagraph"/>
        <w:numPr>
          <w:ilvl w:val="0"/>
          <w:numId w:val="12"/>
        </w:numPr>
        <w:ind w:left="567"/>
        <w:rPr>
          <w:rFonts w:cs="Arial"/>
          <w:szCs w:val="24"/>
        </w:rPr>
      </w:pPr>
      <w:bookmarkStart w:id="3" w:name="_Hlk15392909"/>
      <w:r w:rsidRPr="00880CD8">
        <w:rPr>
          <w:rFonts w:cs="Arial"/>
        </w:rPr>
        <w:t>Users should use the appropriate engineered system(s) when handling or transporting substances, to avoid exposure.</w:t>
      </w:r>
      <w:r>
        <w:rPr>
          <w:rFonts w:cs="Arial"/>
        </w:rPr>
        <w:t xml:space="preserve"> </w:t>
      </w:r>
      <w:bookmarkEnd w:id="3"/>
      <w:r w:rsidR="001B74C8" w:rsidRPr="00880CD8">
        <w:rPr>
          <w:szCs w:val="24"/>
        </w:rPr>
        <w:t xml:space="preserve">Movement and/or transportation of </w:t>
      </w:r>
      <w:r w:rsidR="001B74C8" w:rsidRPr="00880CD8">
        <w:rPr>
          <w:szCs w:val="24"/>
        </w:rPr>
        <w:lastRenderedPageBreak/>
        <w:t>biological materials should be performed using a labelled, leak-proof, and impact-resistant container</w:t>
      </w:r>
      <w:r w:rsidR="00E90493">
        <w:rPr>
          <w:szCs w:val="24"/>
        </w:rPr>
        <w:t>; r</w:t>
      </w:r>
      <w:r w:rsidR="00B82FBE" w:rsidRPr="00880CD8">
        <w:rPr>
          <w:rFonts w:cs="Arial"/>
        </w:rPr>
        <w:t xml:space="preserve">efer to the </w:t>
      </w:r>
      <w:r w:rsidR="00B82FBE" w:rsidRPr="00880CD8">
        <w:rPr>
          <w:rFonts w:cs="Arial"/>
          <w:u w:val="single"/>
        </w:rPr>
        <w:t>BI Biohazard Work Policy</w:t>
      </w:r>
      <w:r w:rsidR="00B82FBE" w:rsidRPr="00880CD8">
        <w:rPr>
          <w:rFonts w:cs="Arial"/>
        </w:rPr>
        <w:t>.</w:t>
      </w:r>
    </w:p>
    <w:p w14:paraId="1588E6DD" w14:textId="77777777" w:rsidR="00422F7F" w:rsidRPr="00A26898" w:rsidRDefault="002E5774" w:rsidP="002E5774">
      <w:pPr>
        <w:pStyle w:val="Heading2"/>
      </w:pPr>
      <w:bookmarkStart w:id="4" w:name="_Toc370997412"/>
      <w:r>
        <w:t>Substance</w:t>
      </w:r>
      <w:r w:rsidR="00422F7F" w:rsidRPr="00A26898">
        <w:t xml:space="preserve"> Inventory</w:t>
      </w:r>
      <w:bookmarkEnd w:id="4"/>
      <w:r w:rsidR="00422F7F" w:rsidRPr="00A26898">
        <w:t xml:space="preserve"> </w:t>
      </w:r>
    </w:p>
    <w:p w14:paraId="0253E835" w14:textId="242CED6B" w:rsidR="00994017" w:rsidRDefault="00172D0F" w:rsidP="00A5371E">
      <w:pPr>
        <w:pStyle w:val="ListParagraph"/>
        <w:numPr>
          <w:ilvl w:val="0"/>
          <w:numId w:val="13"/>
        </w:numPr>
        <w:ind w:left="567"/>
      </w:pPr>
      <w:r>
        <w:t xml:space="preserve">All </w:t>
      </w:r>
      <w:r w:rsidR="007A4430">
        <w:t>hazardous materials</w:t>
      </w:r>
      <w:r>
        <w:t xml:space="preserve"> </w:t>
      </w:r>
      <w:r w:rsidR="007A4430">
        <w:t xml:space="preserve">must be barcoded in the McMaster </w:t>
      </w:r>
      <w:proofErr w:type="spellStart"/>
      <w:r w:rsidR="007A4430">
        <w:t>Hechmet</w:t>
      </w:r>
      <w:proofErr w:type="spellEnd"/>
      <w:r w:rsidR="007A4430">
        <w:t xml:space="preserve"> system</w:t>
      </w:r>
      <w:r w:rsidR="00994017">
        <w:t xml:space="preserve"> (</w:t>
      </w:r>
      <w:r w:rsidR="00994017" w:rsidRPr="00994017">
        <w:t>https://hr.mcmaster.ca/employees/health_safety_well-being/our-safety/lab-safety/mcmaster-chemical-inventory-system/</w:t>
      </w:r>
      <w:r w:rsidR="00994017">
        <w:t>).</w:t>
      </w:r>
    </w:p>
    <w:p w14:paraId="400D720B" w14:textId="0C236669" w:rsidR="00E6131A" w:rsidRDefault="00994017" w:rsidP="00A5371E">
      <w:pPr>
        <w:pStyle w:val="ListParagraph"/>
        <w:numPr>
          <w:ilvl w:val="0"/>
          <w:numId w:val="13"/>
        </w:numPr>
        <w:ind w:left="567"/>
      </w:pPr>
      <w:r>
        <w:t>All</w:t>
      </w:r>
      <w:r w:rsidR="00172D0F">
        <w:t xml:space="preserve"> bio</w:t>
      </w:r>
      <w:r>
        <w:t>hazardous</w:t>
      </w:r>
      <w:r w:rsidR="00172D0F">
        <w:t xml:space="preserve"> material</w:t>
      </w:r>
      <w:r>
        <w:t xml:space="preserve">s must be captured on a McMaster Biological Utilization Protocol (BUP; </w:t>
      </w:r>
      <w:r w:rsidRPr="00994017">
        <w:t>https://biosafety.mcmaster.ca/biosafety_bup.htm</w:t>
      </w:r>
      <w:r>
        <w:t>).</w:t>
      </w:r>
    </w:p>
    <w:p w14:paraId="5CA1A14D" w14:textId="77777777" w:rsidR="00422F7F" w:rsidRDefault="00422F7F" w:rsidP="00A5371E">
      <w:pPr>
        <w:pStyle w:val="ListParagraph"/>
        <w:numPr>
          <w:ilvl w:val="0"/>
          <w:numId w:val="13"/>
        </w:numPr>
        <w:ind w:left="567"/>
        <w:rPr>
          <w:rFonts w:cs="Arial"/>
        </w:rPr>
      </w:pPr>
      <w:r w:rsidRPr="00A26898">
        <w:rPr>
          <w:rFonts w:cs="Arial"/>
        </w:rPr>
        <w:t>When using</w:t>
      </w:r>
      <w:r w:rsidR="00C021DD">
        <w:rPr>
          <w:rFonts w:cs="Arial"/>
        </w:rPr>
        <w:t xml:space="preserve"> or removing</w:t>
      </w:r>
      <w:r w:rsidRPr="00A26898">
        <w:rPr>
          <w:rFonts w:cs="Arial"/>
        </w:rPr>
        <w:t xml:space="preserve"> </w:t>
      </w:r>
      <w:r w:rsidR="002E5774">
        <w:rPr>
          <w:rFonts w:cs="Arial"/>
        </w:rPr>
        <w:t>a substance</w:t>
      </w:r>
      <w:r w:rsidRPr="00A26898">
        <w:rPr>
          <w:rFonts w:cs="Arial"/>
        </w:rPr>
        <w:t xml:space="preserve">, ensure to update </w:t>
      </w:r>
      <w:r w:rsidR="00994017">
        <w:rPr>
          <w:rFonts w:cs="Arial"/>
        </w:rPr>
        <w:t>relevant</w:t>
      </w:r>
      <w:r w:rsidR="009A06CD">
        <w:rPr>
          <w:rFonts w:cs="Arial"/>
        </w:rPr>
        <w:t xml:space="preserve"> inventor</w:t>
      </w:r>
      <w:r w:rsidR="00994017">
        <w:rPr>
          <w:rFonts w:cs="Arial"/>
        </w:rPr>
        <w:t>ies</w:t>
      </w:r>
      <w:r w:rsidRPr="00A26898">
        <w:rPr>
          <w:rFonts w:cs="Arial"/>
        </w:rPr>
        <w:t>.</w:t>
      </w:r>
      <w:r w:rsidRPr="005051CD">
        <w:rPr>
          <w:rFonts w:cs="Arial"/>
        </w:rPr>
        <w:t xml:space="preserve"> </w:t>
      </w:r>
    </w:p>
    <w:p w14:paraId="3FB5E3E2" w14:textId="7D9D2F5C" w:rsidR="00422F7F" w:rsidRPr="00A26898" w:rsidRDefault="00C021DD" w:rsidP="00C021DD">
      <w:pPr>
        <w:pStyle w:val="Heading2"/>
      </w:pPr>
      <w:bookmarkStart w:id="5" w:name="_Toc370997413"/>
      <w:r>
        <w:t>Substances</w:t>
      </w:r>
      <w:r w:rsidR="00422F7F" w:rsidRPr="00A26898">
        <w:t xml:space="preserve"> Storage</w:t>
      </w:r>
      <w:bookmarkEnd w:id="5"/>
      <w:r w:rsidR="00422F7F" w:rsidRPr="00A26898">
        <w:t xml:space="preserve"> </w:t>
      </w:r>
    </w:p>
    <w:p w14:paraId="3FF437EF" w14:textId="77777777" w:rsidR="00422F7F" w:rsidRPr="00A26898" w:rsidRDefault="00BE7EC4" w:rsidP="00A5371E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>S</w:t>
      </w:r>
      <w:r w:rsidR="00C021DD">
        <w:rPr>
          <w:rFonts w:cs="Arial"/>
        </w:rPr>
        <w:t>ubstances</w:t>
      </w:r>
      <w:r w:rsidR="00422F7F" w:rsidRPr="00A26898">
        <w:rPr>
          <w:rFonts w:cs="Arial"/>
        </w:rPr>
        <w:t xml:space="preserve"> </w:t>
      </w:r>
      <w:r>
        <w:rPr>
          <w:rFonts w:cs="Arial"/>
        </w:rPr>
        <w:t xml:space="preserve">must be stored </w:t>
      </w:r>
      <w:r w:rsidRPr="00A26898">
        <w:rPr>
          <w:rFonts w:cs="Arial"/>
        </w:rPr>
        <w:t>in cool, dry, well ventilated areas</w:t>
      </w:r>
      <w:r>
        <w:rPr>
          <w:rFonts w:cs="Arial"/>
        </w:rPr>
        <w:t>,</w:t>
      </w:r>
      <w:r w:rsidRPr="00A26898">
        <w:rPr>
          <w:rFonts w:cs="Arial"/>
        </w:rPr>
        <w:t xml:space="preserve"> </w:t>
      </w:r>
      <w:r w:rsidR="00422F7F" w:rsidRPr="00A26898">
        <w:rPr>
          <w:rFonts w:cs="Arial"/>
        </w:rPr>
        <w:t xml:space="preserve">away </w:t>
      </w:r>
      <w:r>
        <w:rPr>
          <w:rFonts w:cs="Arial"/>
        </w:rPr>
        <w:t>from offices and emergency exits, and not in fume hoods</w:t>
      </w:r>
      <w:r w:rsidR="00422F7F" w:rsidRPr="00A26898">
        <w:rPr>
          <w:rFonts w:cs="Arial"/>
        </w:rPr>
        <w:t>.</w:t>
      </w:r>
    </w:p>
    <w:p w14:paraId="171295B5" w14:textId="77777777" w:rsidR="003559EB" w:rsidRDefault="003559EB" w:rsidP="00A5371E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>Substance</w:t>
      </w:r>
      <w:r w:rsidRPr="00A26898">
        <w:rPr>
          <w:rFonts w:cs="Arial"/>
        </w:rPr>
        <w:t xml:space="preserve"> containers </w:t>
      </w:r>
      <w:r>
        <w:rPr>
          <w:rFonts w:cs="Arial"/>
        </w:rPr>
        <w:t xml:space="preserve">should be properly maintained, </w:t>
      </w:r>
      <w:r w:rsidRPr="00A26898">
        <w:rPr>
          <w:rFonts w:cs="Arial"/>
        </w:rPr>
        <w:t>in good condition and properly label</w:t>
      </w:r>
      <w:r>
        <w:rPr>
          <w:rFonts w:cs="Arial"/>
        </w:rPr>
        <w:t>ed</w:t>
      </w:r>
      <w:r w:rsidRPr="00A26898">
        <w:rPr>
          <w:rFonts w:cs="Arial"/>
        </w:rPr>
        <w:t>.</w:t>
      </w:r>
    </w:p>
    <w:p w14:paraId="3F05F7FA" w14:textId="37C4C468" w:rsidR="00BE7EC4" w:rsidRPr="00C021DD" w:rsidRDefault="00BE7EC4" w:rsidP="00A5371E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 xml:space="preserve">Stored </w:t>
      </w:r>
      <w:r w:rsidR="00994017">
        <w:rPr>
          <w:rFonts w:cs="Arial"/>
        </w:rPr>
        <w:t>hazardous materials</w:t>
      </w:r>
      <w:r>
        <w:rPr>
          <w:rFonts w:cs="Arial"/>
        </w:rPr>
        <w:t xml:space="preserve"> should be</w:t>
      </w:r>
      <w:r w:rsidRPr="00C021DD">
        <w:rPr>
          <w:rFonts w:cs="Arial"/>
        </w:rPr>
        <w:t xml:space="preserve"> separate</w:t>
      </w:r>
      <w:r>
        <w:rPr>
          <w:rFonts w:cs="Arial"/>
        </w:rPr>
        <w:t>d</w:t>
      </w:r>
      <w:r w:rsidRPr="00C021DD">
        <w:rPr>
          <w:rFonts w:cs="Arial"/>
        </w:rPr>
        <w:t xml:space="preserve"> according to compatibility (oxidizer, water reactive, flammables, acids, caustics/bases)</w:t>
      </w:r>
      <w:r>
        <w:rPr>
          <w:rFonts w:cs="Arial"/>
        </w:rPr>
        <w:t>. I</w:t>
      </w:r>
      <w:r w:rsidRPr="00A26898">
        <w:rPr>
          <w:rFonts w:cs="Arial"/>
        </w:rPr>
        <w:t xml:space="preserve">ncompatible chemicals </w:t>
      </w:r>
      <w:r>
        <w:rPr>
          <w:rFonts w:cs="Arial"/>
        </w:rPr>
        <w:t xml:space="preserve">must be stored </w:t>
      </w:r>
      <w:r w:rsidRPr="00A26898">
        <w:rPr>
          <w:rFonts w:cs="Arial"/>
        </w:rPr>
        <w:t>away from each other</w:t>
      </w:r>
      <w:r>
        <w:rPr>
          <w:rFonts w:cs="Arial"/>
        </w:rPr>
        <w:t>.</w:t>
      </w:r>
      <w:r w:rsidRPr="00C021DD">
        <w:rPr>
          <w:rFonts w:cs="Arial"/>
        </w:rPr>
        <w:t xml:space="preserve"> Refer to the </w:t>
      </w:r>
      <w:r w:rsidRPr="00C021DD">
        <w:rPr>
          <w:rFonts w:cs="Arial"/>
          <w:u w:val="single"/>
        </w:rPr>
        <w:t>McMaster Laboratory Handbook</w:t>
      </w:r>
      <w:r w:rsidRPr="00C021DD">
        <w:rPr>
          <w:rFonts w:cs="Arial"/>
        </w:rPr>
        <w:t>.</w:t>
      </w:r>
    </w:p>
    <w:p w14:paraId="630706A3" w14:textId="77777777" w:rsidR="00BE7EC4" w:rsidRPr="00A26898" w:rsidRDefault="00810D8B" w:rsidP="00A5371E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>U</w:t>
      </w:r>
      <w:r w:rsidR="00BE7EC4" w:rsidRPr="00A26898">
        <w:rPr>
          <w:rFonts w:cs="Arial"/>
        </w:rPr>
        <w:t>nopened peroxide formers</w:t>
      </w:r>
      <w:r>
        <w:rPr>
          <w:rFonts w:cs="Arial"/>
        </w:rPr>
        <w:t>, without inhibitors,</w:t>
      </w:r>
      <w:r w:rsidR="00BE7EC4" w:rsidRPr="00A26898">
        <w:rPr>
          <w:rFonts w:cs="Arial"/>
        </w:rPr>
        <w:t xml:space="preserve"> </w:t>
      </w:r>
      <w:r>
        <w:rPr>
          <w:rFonts w:cs="Arial"/>
        </w:rPr>
        <w:t>should only be kept for one year</w:t>
      </w:r>
      <w:r w:rsidR="00BE7EC4" w:rsidRPr="00A26898">
        <w:rPr>
          <w:rFonts w:cs="Arial"/>
        </w:rPr>
        <w:t>.</w:t>
      </w:r>
    </w:p>
    <w:p w14:paraId="1F968CBC" w14:textId="77777777" w:rsidR="00BE7EC4" w:rsidRDefault="00810D8B" w:rsidP="00A5371E">
      <w:pPr>
        <w:pStyle w:val="ListParagraph"/>
        <w:numPr>
          <w:ilvl w:val="0"/>
          <w:numId w:val="14"/>
        </w:numPr>
        <w:ind w:left="567"/>
        <w:rPr>
          <w:rFonts w:cs="Arial"/>
        </w:rPr>
      </w:pPr>
      <w:r>
        <w:rPr>
          <w:rFonts w:cs="Arial"/>
        </w:rPr>
        <w:t>O</w:t>
      </w:r>
      <w:r w:rsidR="00BE7EC4" w:rsidRPr="00A26898">
        <w:rPr>
          <w:rFonts w:cs="Arial"/>
        </w:rPr>
        <w:t xml:space="preserve">pened ethers (peroxide former) </w:t>
      </w:r>
      <w:r>
        <w:rPr>
          <w:rFonts w:cs="Arial"/>
        </w:rPr>
        <w:t>should be</w:t>
      </w:r>
      <w:r w:rsidR="00BE7EC4" w:rsidRPr="00A26898">
        <w:rPr>
          <w:rFonts w:cs="Arial"/>
        </w:rPr>
        <w:t xml:space="preserve"> kept </w:t>
      </w:r>
      <w:r>
        <w:rPr>
          <w:rFonts w:cs="Arial"/>
        </w:rPr>
        <w:t>no longer</w:t>
      </w:r>
      <w:r w:rsidR="00BE7EC4">
        <w:rPr>
          <w:rFonts w:cs="Arial"/>
        </w:rPr>
        <w:t xml:space="preserve"> </w:t>
      </w:r>
      <w:r>
        <w:rPr>
          <w:rFonts w:cs="Arial"/>
        </w:rPr>
        <w:t xml:space="preserve">than </w:t>
      </w:r>
      <w:r w:rsidR="00BE7EC4" w:rsidRPr="00A26898">
        <w:rPr>
          <w:rFonts w:cs="Arial"/>
        </w:rPr>
        <w:t>6 months</w:t>
      </w:r>
      <w:r w:rsidR="00BE7EC4">
        <w:rPr>
          <w:rFonts w:cs="Arial"/>
        </w:rPr>
        <w:t>.</w:t>
      </w:r>
    </w:p>
    <w:p w14:paraId="344D7506" w14:textId="1463C327" w:rsidR="00BE7EC4" w:rsidRDefault="00A5371E" w:rsidP="00325B5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/>
        <w:rPr>
          <w:rFonts w:cs="Arial"/>
        </w:rPr>
      </w:pPr>
      <w:r>
        <w:rPr>
          <w:rFonts w:cs="Arial"/>
          <w:szCs w:val="24"/>
        </w:rPr>
        <w:t xml:space="preserve">Biohazardous materials will be stored according to the appropriate containment level in designated storage areas. </w:t>
      </w:r>
      <w:r w:rsidR="00B13BDB">
        <w:rPr>
          <w:rFonts w:cs="Arial"/>
          <w:szCs w:val="24"/>
        </w:rPr>
        <w:t xml:space="preserve">Biological storage </w:t>
      </w:r>
      <w:r>
        <w:rPr>
          <w:rFonts w:cs="Arial"/>
          <w:szCs w:val="24"/>
        </w:rPr>
        <w:t>areas</w:t>
      </w:r>
      <w:r w:rsidR="00B13BDB">
        <w:rPr>
          <w:rFonts w:cs="Arial"/>
          <w:szCs w:val="24"/>
        </w:rPr>
        <w:t xml:space="preserve"> will be labeled as biohazardous, with </w:t>
      </w:r>
      <w:r>
        <w:rPr>
          <w:rFonts w:cs="Arial"/>
          <w:szCs w:val="24"/>
        </w:rPr>
        <w:t xml:space="preserve">the applicable </w:t>
      </w:r>
      <w:r w:rsidR="00B13BDB">
        <w:rPr>
          <w:rFonts w:cs="Arial"/>
          <w:szCs w:val="24"/>
        </w:rPr>
        <w:t>containment level</w:t>
      </w:r>
      <w:r>
        <w:rPr>
          <w:rFonts w:cs="Arial"/>
          <w:szCs w:val="24"/>
        </w:rPr>
        <w:t xml:space="preserve"> and emergency contact information</w:t>
      </w:r>
      <w:r w:rsidR="00B13BDB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Refer to the</w:t>
      </w:r>
      <w:r w:rsidR="00B13BDB">
        <w:rPr>
          <w:rFonts w:cs="Arial"/>
        </w:rPr>
        <w:t xml:space="preserve"> </w:t>
      </w:r>
      <w:r w:rsidR="00B13BDB" w:rsidRPr="00B13BDB">
        <w:rPr>
          <w:rFonts w:cs="Arial"/>
          <w:u w:val="single"/>
        </w:rPr>
        <w:t>BI Biohazard Work Policy</w:t>
      </w:r>
      <w:r w:rsidR="00BE7EC4">
        <w:rPr>
          <w:rFonts w:cs="Arial"/>
        </w:rPr>
        <w:t>.</w:t>
      </w:r>
    </w:p>
    <w:p w14:paraId="1A8F39AE" w14:textId="77827B2B" w:rsidR="00C021DD" w:rsidRPr="00A26898" w:rsidRDefault="00B13BDB" w:rsidP="00325B58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Access to </w:t>
      </w:r>
      <w:r w:rsidR="00C54F9D">
        <w:rPr>
          <w:rFonts w:cs="Arial"/>
          <w:szCs w:val="24"/>
        </w:rPr>
        <w:t>CL</w:t>
      </w:r>
      <w:r w:rsidR="00C021DD" w:rsidRPr="00A26898">
        <w:rPr>
          <w:rFonts w:cs="Arial"/>
          <w:szCs w:val="24"/>
        </w:rPr>
        <w:t xml:space="preserve">-2 materials will be </w:t>
      </w:r>
      <w:r>
        <w:rPr>
          <w:rFonts w:cs="Arial"/>
          <w:szCs w:val="24"/>
        </w:rPr>
        <w:t xml:space="preserve">restricted and only accessible by authorized </w:t>
      </w:r>
      <w:r w:rsidR="00A5371E">
        <w:rPr>
          <w:rFonts w:cs="Arial"/>
          <w:szCs w:val="24"/>
        </w:rPr>
        <w:t>personnel</w:t>
      </w:r>
      <w:r w:rsidR="00C021DD" w:rsidRPr="00A26898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Refer to the </w:t>
      </w:r>
      <w:r w:rsidRPr="00B13BDB">
        <w:rPr>
          <w:rFonts w:cs="Arial"/>
          <w:szCs w:val="24"/>
          <w:u w:val="single"/>
        </w:rPr>
        <w:t>BI Biosecurity Policy</w:t>
      </w:r>
      <w:r>
        <w:rPr>
          <w:rFonts w:cs="Arial"/>
          <w:szCs w:val="24"/>
        </w:rPr>
        <w:t>.</w:t>
      </w:r>
    </w:p>
    <w:p w14:paraId="03A47B2B" w14:textId="77777777" w:rsidR="00422F7F" w:rsidRPr="00A26898" w:rsidRDefault="00C021DD" w:rsidP="00167E3D">
      <w:pPr>
        <w:pStyle w:val="Heading2"/>
      </w:pPr>
      <w:bookmarkStart w:id="6" w:name="_Toc370997414"/>
      <w:r>
        <w:t>Substance</w:t>
      </w:r>
      <w:r w:rsidR="00422F7F" w:rsidRPr="00A26898">
        <w:t xml:space="preserve"> </w:t>
      </w:r>
      <w:bookmarkEnd w:id="6"/>
      <w:r w:rsidR="00C05137">
        <w:t>Documentation</w:t>
      </w:r>
    </w:p>
    <w:p w14:paraId="004437E9" w14:textId="432D116F" w:rsidR="00A5371E" w:rsidRDefault="00B13BDB" w:rsidP="00A5371E">
      <w:pPr>
        <w:pStyle w:val="ListParagraph"/>
        <w:numPr>
          <w:ilvl w:val="0"/>
          <w:numId w:val="15"/>
        </w:numPr>
        <w:ind w:left="567"/>
        <w:rPr>
          <w:rFonts w:cs="Arial"/>
        </w:rPr>
      </w:pPr>
      <w:r w:rsidRPr="003559EB">
        <w:rPr>
          <w:rFonts w:cs="Arial"/>
        </w:rPr>
        <w:t>SDS</w:t>
      </w:r>
      <w:r w:rsidR="003559EB" w:rsidRPr="003559EB">
        <w:rPr>
          <w:rFonts w:cs="Arial"/>
        </w:rPr>
        <w:t>/PSDS</w:t>
      </w:r>
      <w:r w:rsidRPr="003559EB">
        <w:rPr>
          <w:rFonts w:cs="Arial"/>
        </w:rPr>
        <w:t xml:space="preserve"> </w:t>
      </w:r>
      <w:r w:rsidR="003559EB" w:rsidRPr="003559EB">
        <w:rPr>
          <w:rFonts w:cs="Arial"/>
        </w:rPr>
        <w:t>may</w:t>
      </w:r>
      <w:r w:rsidRPr="003559EB">
        <w:rPr>
          <w:rFonts w:cs="Arial"/>
        </w:rPr>
        <w:t xml:space="preserve"> </w:t>
      </w:r>
      <w:r w:rsidR="003559EB" w:rsidRPr="003559EB">
        <w:rPr>
          <w:rFonts w:cs="Arial"/>
        </w:rPr>
        <w:t>be electronic or printed and kept in</w:t>
      </w:r>
      <w:r w:rsidRPr="003559EB">
        <w:rPr>
          <w:rFonts w:cs="Arial"/>
        </w:rPr>
        <w:t xml:space="preserve"> BI laboratory area </w:t>
      </w:r>
      <w:r w:rsidR="00A5371E">
        <w:rPr>
          <w:rFonts w:cs="Arial"/>
        </w:rPr>
        <w:t xml:space="preserve">near </w:t>
      </w:r>
      <w:r w:rsidRPr="003559EB">
        <w:rPr>
          <w:rFonts w:cs="Arial"/>
        </w:rPr>
        <w:t>where the substance is stor</w:t>
      </w:r>
      <w:r w:rsidR="00A5371E">
        <w:rPr>
          <w:rFonts w:cs="Arial"/>
        </w:rPr>
        <w:t>ed</w:t>
      </w:r>
      <w:r w:rsidRPr="003559EB">
        <w:rPr>
          <w:rFonts w:cs="Arial"/>
        </w:rPr>
        <w:t>.</w:t>
      </w:r>
      <w:r w:rsidR="003559EB">
        <w:rPr>
          <w:rFonts w:cs="Arial"/>
        </w:rPr>
        <w:t xml:space="preserve"> </w:t>
      </w:r>
    </w:p>
    <w:p w14:paraId="5815C183" w14:textId="2CC0A5D3" w:rsidR="00422F7F" w:rsidRPr="003559EB" w:rsidRDefault="00A5371E" w:rsidP="00A5371E">
      <w:pPr>
        <w:pStyle w:val="ListParagraph"/>
        <w:numPr>
          <w:ilvl w:val="0"/>
          <w:numId w:val="15"/>
        </w:numPr>
        <w:ind w:left="567"/>
        <w:rPr>
          <w:rFonts w:cs="Arial"/>
        </w:rPr>
      </w:pPr>
      <w:r>
        <w:rPr>
          <w:rFonts w:cs="Arial"/>
        </w:rPr>
        <w:t xml:space="preserve">Update </w:t>
      </w:r>
      <w:r w:rsidR="00D306D6" w:rsidRPr="003559EB">
        <w:rPr>
          <w:rFonts w:cs="Arial"/>
        </w:rPr>
        <w:t>SDS/PSDS</w:t>
      </w:r>
      <w:r w:rsidR="00422F7F" w:rsidRPr="003559EB">
        <w:rPr>
          <w:rFonts w:cs="Arial"/>
        </w:rPr>
        <w:t xml:space="preserve"> </w:t>
      </w:r>
      <w:r w:rsidR="003559EB">
        <w:rPr>
          <w:rFonts w:cs="Arial"/>
        </w:rPr>
        <w:t>as new</w:t>
      </w:r>
      <w:r w:rsidR="00422F7F" w:rsidRPr="003559EB">
        <w:rPr>
          <w:rFonts w:cs="Arial"/>
        </w:rPr>
        <w:t xml:space="preserve"> information </w:t>
      </w:r>
      <w:r w:rsidR="00810D8B" w:rsidRPr="003559EB">
        <w:rPr>
          <w:rFonts w:cs="Arial"/>
        </w:rPr>
        <w:t>is</w:t>
      </w:r>
      <w:r w:rsidR="00422F7F" w:rsidRPr="003559EB">
        <w:rPr>
          <w:rFonts w:cs="Arial"/>
        </w:rPr>
        <w:t xml:space="preserve"> available.</w:t>
      </w:r>
    </w:p>
    <w:p w14:paraId="55ADB4D3" w14:textId="77777777" w:rsidR="00C05137" w:rsidRDefault="00034305" w:rsidP="00034305">
      <w:pPr>
        <w:pStyle w:val="Heading2"/>
      </w:pPr>
      <w:r>
        <w:t>Substance Removal</w:t>
      </w:r>
    </w:p>
    <w:p w14:paraId="3E7C0700" w14:textId="372551BC" w:rsidR="00A5371E" w:rsidRDefault="00A5371E" w:rsidP="00A5371E">
      <w:pPr>
        <w:pStyle w:val="ListParagraph"/>
        <w:numPr>
          <w:ilvl w:val="0"/>
          <w:numId w:val="28"/>
        </w:numPr>
        <w:ind w:left="567"/>
        <w:rPr>
          <w:rFonts w:cs="Arial"/>
        </w:rPr>
      </w:pPr>
      <w:r w:rsidRPr="00A26898">
        <w:rPr>
          <w:rFonts w:cs="Arial"/>
        </w:rPr>
        <w:t xml:space="preserve">When </w:t>
      </w:r>
      <w:r>
        <w:rPr>
          <w:rFonts w:cs="Arial"/>
        </w:rPr>
        <w:t>removing</w:t>
      </w:r>
      <w:r w:rsidRPr="00A26898">
        <w:rPr>
          <w:rFonts w:cs="Arial"/>
        </w:rPr>
        <w:t xml:space="preserve"> </w:t>
      </w:r>
      <w:r>
        <w:rPr>
          <w:rFonts w:cs="Arial"/>
        </w:rPr>
        <w:t>a substance</w:t>
      </w:r>
      <w:r w:rsidRPr="00A26898">
        <w:rPr>
          <w:rFonts w:cs="Arial"/>
        </w:rPr>
        <w:t xml:space="preserve">, ensure to update </w:t>
      </w:r>
      <w:r>
        <w:rPr>
          <w:rFonts w:cs="Arial"/>
        </w:rPr>
        <w:t>relevant inventories</w:t>
      </w:r>
      <w:r w:rsidRPr="00A26898">
        <w:rPr>
          <w:rFonts w:cs="Arial"/>
        </w:rPr>
        <w:t>.</w:t>
      </w:r>
      <w:r w:rsidRPr="005051CD">
        <w:rPr>
          <w:rFonts w:cs="Arial"/>
        </w:rPr>
        <w:t xml:space="preserve"> </w:t>
      </w:r>
    </w:p>
    <w:p w14:paraId="03FEF49F" w14:textId="4F5B0E90" w:rsidR="00034305" w:rsidRDefault="00034305" w:rsidP="00A5371E">
      <w:pPr>
        <w:pStyle w:val="ListParagraph"/>
        <w:numPr>
          <w:ilvl w:val="0"/>
          <w:numId w:val="28"/>
        </w:numPr>
        <w:ind w:left="567"/>
      </w:pPr>
      <w:r>
        <w:t xml:space="preserve">Refer to the </w:t>
      </w:r>
      <w:r w:rsidRPr="00034305">
        <w:rPr>
          <w:u w:val="single"/>
        </w:rPr>
        <w:t>BI Waste Polic</w:t>
      </w:r>
      <w:r w:rsidR="00A5371E">
        <w:rPr>
          <w:u w:val="single"/>
        </w:rPr>
        <w:t>ies</w:t>
      </w:r>
      <w:r>
        <w:t xml:space="preserve"> for disposal guidelines.</w:t>
      </w:r>
    </w:p>
    <w:p w14:paraId="734A8CD7" w14:textId="00778E53" w:rsidR="00A5371E" w:rsidRPr="00034305" w:rsidRDefault="00A5371E" w:rsidP="00A5371E">
      <w:pPr>
        <w:pStyle w:val="ListParagraph"/>
        <w:numPr>
          <w:ilvl w:val="0"/>
          <w:numId w:val="28"/>
        </w:numPr>
        <w:ind w:left="567"/>
      </w:pPr>
      <w:r>
        <w:t xml:space="preserve">Refer to the </w:t>
      </w:r>
      <w:r w:rsidRPr="00A5371E">
        <w:rPr>
          <w:u w:val="single"/>
        </w:rPr>
        <w:t>BI Emergency Policies</w:t>
      </w:r>
      <w:r>
        <w:t xml:space="preserve"> for spill procedures.</w:t>
      </w:r>
    </w:p>
    <w:sectPr w:rsidR="00A5371E" w:rsidRPr="0003430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C2F1C" w14:textId="77777777" w:rsidR="009529EC" w:rsidRDefault="009529EC" w:rsidP="00696DF8">
      <w:r>
        <w:separator/>
      </w:r>
    </w:p>
  </w:endnote>
  <w:endnote w:type="continuationSeparator" w:id="0">
    <w:p w14:paraId="6DB97E73" w14:textId="77777777" w:rsidR="009529EC" w:rsidRDefault="009529EC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0608486" w14:textId="77777777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C3C7F7" wp14:editId="007A0C7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FC2BD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365ACF">
              <w:t>Policy</w:t>
            </w:r>
            <w:r w:rsidR="006625AD">
              <w:t>ID</w:t>
            </w:r>
            <w:proofErr w:type="spellEnd"/>
            <w:r w:rsidR="009A06CD">
              <w:t>:</w:t>
            </w:r>
            <w:r w:rsidR="006625AD">
              <w:t xml:space="preserve"> </w:t>
            </w:r>
            <w:r w:rsidR="006D1932">
              <w:t>Subst</w:t>
            </w:r>
            <w:r w:rsidR="006625AD">
              <w:t>ances</w:t>
            </w:r>
            <w:r w:rsidR="00FA42DC">
              <w:tab/>
            </w:r>
            <w:r w:rsidR="00583247">
              <w:t>Jan</w:t>
            </w:r>
            <w:r w:rsidR="00305F75">
              <w:t>. 20</w:t>
            </w:r>
            <w:r w:rsidR="00C54F9D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E7B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FE7B8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41C90177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CC9E5" w14:textId="77777777" w:rsidR="009529EC" w:rsidRDefault="009529EC" w:rsidP="00696DF8">
      <w:r>
        <w:separator/>
      </w:r>
    </w:p>
  </w:footnote>
  <w:footnote w:type="continuationSeparator" w:id="0">
    <w:p w14:paraId="25D96E34" w14:textId="77777777" w:rsidR="009529EC" w:rsidRDefault="009529EC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BFF47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51CDF3F1" wp14:editId="651433AC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530F467E" wp14:editId="0C103707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6DD487F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1BC68E" wp14:editId="58459536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745295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6232F3CC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0806CA0"/>
    <w:multiLevelType w:val="hybridMultilevel"/>
    <w:tmpl w:val="7C540F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C4456"/>
    <w:multiLevelType w:val="hybridMultilevel"/>
    <w:tmpl w:val="3698CDF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94840"/>
    <w:multiLevelType w:val="hybridMultilevel"/>
    <w:tmpl w:val="1D5E26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14B26"/>
    <w:multiLevelType w:val="hybridMultilevel"/>
    <w:tmpl w:val="3ED020A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EB6083"/>
    <w:multiLevelType w:val="hybridMultilevel"/>
    <w:tmpl w:val="AC745EE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4797F"/>
    <w:multiLevelType w:val="hybridMultilevel"/>
    <w:tmpl w:val="7C540FF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E1310"/>
    <w:multiLevelType w:val="hybridMultilevel"/>
    <w:tmpl w:val="0E088FC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60BE2"/>
    <w:multiLevelType w:val="hybridMultilevel"/>
    <w:tmpl w:val="05DE93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24A31"/>
    <w:multiLevelType w:val="hybridMultilevel"/>
    <w:tmpl w:val="AB38EE2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768C7"/>
    <w:multiLevelType w:val="hybridMultilevel"/>
    <w:tmpl w:val="A8569EF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D54E8"/>
    <w:multiLevelType w:val="hybridMultilevel"/>
    <w:tmpl w:val="11C28B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7C4"/>
    <w:multiLevelType w:val="hybridMultilevel"/>
    <w:tmpl w:val="C04A819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C2098"/>
    <w:multiLevelType w:val="hybridMultilevel"/>
    <w:tmpl w:val="1D5E26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8811AA"/>
    <w:multiLevelType w:val="hybridMultilevel"/>
    <w:tmpl w:val="574EDA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1E3470"/>
    <w:multiLevelType w:val="hybridMultilevel"/>
    <w:tmpl w:val="AE627A9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4E75E35"/>
    <w:multiLevelType w:val="hybridMultilevel"/>
    <w:tmpl w:val="9FD430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14C68"/>
    <w:multiLevelType w:val="hybridMultilevel"/>
    <w:tmpl w:val="6C52E42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C43E3"/>
    <w:multiLevelType w:val="hybridMultilevel"/>
    <w:tmpl w:val="E3E41E1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C873FE"/>
    <w:multiLevelType w:val="hybridMultilevel"/>
    <w:tmpl w:val="7D128E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1009001B">
      <w:start w:val="1"/>
      <w:numFmt w:val="lowerRoman"/>
      <w:lvlText w:val="%2."/>
      <w:lvlJc w:val="right"/>
      <w:pPr>
        <w:ind w:left="1440" w:hanging="360"/>
      </w:pPr>
      <w:rPr>
        <w:rFonts w:cs="Times New Roman" w:hint="default"/>
        <w:b w:val="0"/>
        <w:i w:val="0"/>
        <w:sz w:val="24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23" w15:restartNumberingAfterBreak="0">
    <w:nsid w:val="6FEE4759"/>
    <w:multiLevelType w:val="hybridMultilevel"/>
    <w:tmpl w:val="9342AE4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F77D1"/>
    <w:multiLevelType w:val="hybridMultilevel"/>
    <w:tmpl w:val="9FD430E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5B4786"/>
    <w:multiLevelType w:val="hybridMultilevel"/>
    <w:tmpl w:val="4CB2C99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AC818CA"/>
    <w:multiLevelType w:val="hybridMultilevel"/>
    <w:tmpl w:val="6B3416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6"/>
  </w:num>
  <w:num w:numId="5">
    <w:abstractNumId w:val="0"/>
  </w:num>
  <w:num w:numId="6">
    <w:abstractNumId w:val="11"/>
  </w:num>
  <w:num w:numId="7">
    <w:abstractNumId w:val="25"/>
  </w:num>
  <w:num w:numId="8">
    <w:abstractNumId w:val="19"/>
  </w:num>
  <w:num w:numId="9">
    <w:abstractNumId w:val="9"/>
  </w:num>
  <w:num w:numId="10">
    <w:abstractNumId w:val="10"/>
  </w:num>
  <w:num w:numId="11">
    <w:abstractNumId w:val="24"/>
  </w:num>
  <w:num w:numId="12">
    <w:abstractNumId w:val="2"/>
  </w:num>
  <w:num w:numId="13">
    <w:abstractNumId w:val="14"/>
  </w:num>
  <w:num w:numId="14">
    <w:abstractNumId w:val="6"/>
  </w:num>
  <w:num w:numId="15">
    <w:abstractNumId w:val="7"/>
  </w:num>
  <w:num w:numId="16">
    <w:abstractNumId w:val="15"/>
  </w:num>
  <w:num w:numId="17">
    <w:abstractNumId w:val="27"/>
  </w:num>
  <w:num w:numId="18">
    <w:abstractNumId w:val="17"/>
  </w:num>
  <w:num w:numId="19">
    <w:abstractNumId w:val="21"/>
  </w:num>
  <w:num w:numId="20">
    <w:abstractNumId w:val="5"/>
  </w:num>
  <w:num w:numId="21">
    <w:abstractNumId w:val="8"/>
  </w:num>
  <w:num w:numId="22">
    <w:abstractNumId w:val="23"/>
  </w:num>
  <w:num w:numId="23">
    <w:abstractNumId w:val="18"/>
  </w:num>
  <w:num w:numId="24">
    <w:abstractNumId w:val="13"/>
  </w:num>
  <w:num w:numId="25">
    <w:abstractNumId w:val="3"/>
  </w:num>
  <w:num w:numId="26">
    <w:abstractNumId w:val="1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10DA4"/>
    <w:rsid w:val="00034305"/>
    <w:rsid w:val="00041613"/>
    <w:rsid w:val="000A1D1F"/>
    <w:rsid w:val="000D4BAA"/>
    <w:rsid w:val="00103F7F"/>
    <w:rsid w:val="00126071"/>
    <w:rsid w:val="0015717F"/>
    <w:rsid w:val="00167E3D"/>
    <w:rsid w:val="00172D0F"/>
    <w:rsid w:val="001807E7"/>
    <w:rsid w:val="001B3E79"/>
    <w:rsid w:val="001B74C8"/>
    <w:rsid w:val="0022644B"/>
    <w:rsid w:val="00243F45"/>
    <w:rsid w:val="002E5774"/>
    <w:rsid w:val="00305F75"/>
    <w:rsid w:val="00320838"/>
    <w:rsid w:val="00325B58"/>
    <w:rsid w:val="0034410A"/>
    <w:rsid w:val="003559EB"/>
    <w:rsid w:val="00363A38"/>
    <w:rsid w:val="00365ACF"/>
    <w:rsid w:val="00372266"/>
    <w:rsid w:val="003D77CB"/>
    <w:rsid w:val="003E5D3B"/>
    <w:rsid w:val="00422F7F"/>
    <w:rsid w:val="00540896"/>
    <w:rsid w:val="00562A90"/>
    <w:rsid w:val="0056533A"/>
    <w:rsid w:val="00583247"/>
    <w:rsid w:val="006625AD"/>
    <w:rsid w:val="00696DF8"/>
    <w:rsid w:val="006A0061"/>
    <w:rsid w:val="006D1932"/>
    <w:rsid w:val="006F00C2"/>
    <w:rsid w:val="007067C4"/>
    <w:rsid w:val="00753574"/>
    <w:rsid w:val="007738A0"/>
    <w:rsid w:val="007926FA"/>
    <w:rsid w:val="00796576"/>
    <w:rsid w:val="007A4430"/>
    <w:rsid w:val="007A71E1"/>
    <w:rsid w:val="007C3343"/>
    <w:rsid w:val="007C35A6"/>
    <w:rsid w:val="007E1173"/>
    <w:rsid w:val="00810D8B"/>
    <w:rsid w:val="00880CD8"/>
    <w:rsid w:val="008F4B87"/>
    <w:rsid w:val="00911623"/>
    <w:rsid w:val="00915C84"/>
    <w:rsid w:val="009234C8"/>
    <w:rsid w:val="009235DE"/>
    <w:rsid w:val="00951C8E"/>
    <w:rsid w:val="009529EC"/>
    <w:rsid w:val="00990310"/>
    <w:rsid w:val="00994017"/>
    <w:rsid w:val="009A06CD"/>
    <w:rsid w:val="009C615C"/>
    <w:rsid w:val="00A42C2A"/>
    <w:rsid w:val="00A5371E"/>
    <w:rsid w:val="00A82A38"/>
    <w:rsid w:val="00A83D89"/>
    <w:rsid w:val="00A850BB"/>
    <w:rsid w:val="00AB4213"/>
    <w:rsid w:val="00AB7944"/>
    <w:rsid w:val="00B05D2E"/>
    <w:rsid w:val="00B10567"/>
    <w:rsid w:val="00B13BDB"/>
    <w:rsid w:val="00B82FBE"/>
    <w:rsid w:val="00BD1F39"/>
    <w:rsid w:val="00BD6198"/>
    <w:rsid w:val="00BE7EC4"/>
    <w:rsid w:val="00C021DD"/>
    <w:rsid w:val="00C05137"/>
    <w:rsid w:val="00C515B8"/>
    <w:rsid w:val="00C54F9D"/>
    <w:rsid w:val="00C655F0"/>
    <w:rsid w:val="00CA487A"/>
    <w:rsid w:val="00CF0149"/>
    <w:rsid w:val="00D306D6"/>
    <w:rsid w:val="00D42FC6"/>
    <w:rsid w:val="00D77933"/>
    <w:rsid w:val="00DC6F1E"/>
    <w:rsid w:val="00DF04DD"/>
    <w:rsid w:val="00E2026B"/>
    <w:rsid w:val="00E31BBE"/>
    <w:rsid w:val="00E6131A"/>
    <w:rsid w:val="00E90493"/>
    <w:rsid w:val="00FA42DC"/>
    <w:rsid w:val="00FB4CB6"/>
    <w:rsid w:val="00FE7B8E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906E1E"/>
  <w15:docId w15:val="{9DCF283A-B6D5-4D77-B558-142E6C99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422F7F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63A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A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A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A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A38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40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6092A-D3DA-4C6C-A785-B16DDE9C7160}"/>
</file>

<file path=customXml/itemProps2.xml><?xml version="1.0" encoding="utf-8"?>
<ds:datastoreItem xmlns:ds="http://schemas.openxmlformats.org/officeDocument/2006/customXml" ds:itemID="{B1454B4B-B036-4574-99CE-4FF7E2181218}"/>
</file>

<file path=customXml/itemProps3.xml><?xml version="1.0" encoding="utf-8"?>
<ds:datastoreItem xmlns:ds="http://schemas.openxmlformats.org/officeDocument/2006/customXml" ds:itemID="{212AA619-4A5C-4345-A11C-6D477E9838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39</cp:revision>
  <cp:lastPrinted>2017-02-14T16:36:00Z</cp:lastPrinted>
  <dcterms:created xsi:type="dcterms:W3CDTF">2013-12-12T16:22:00Z</dcterms:created>
  <dcterms:modified xsi:type="dcterms:W3CDTF">2021-03-14T17:30:00Z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