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3EC1" w14:textId="4C141044" w:rsidR="00AE187B" w:rsidRPr="00A26898" w:rsidRDefault="00AE187B" w:rsidP="00AE187B">
      <w:pPr>
        <w:pStyle w:val="Heading1"/>
        <w:rPr>
          <w:rFonts w:cs="Arial"/>
        </w:rPr>
      </w:pPr>
      <w:bookmarkStart w:id="0" w:name="_Toc370997453"/>
      <w:r w:rsidRPr="00A26898">
        <w:rPr>
          <w:rFonts w:cs="Arial"/>
        </w:rPr>
        <w:t xml:space="preserve">BI Waste Disposal </w:t>
      </w:r>
      <w:r w:rsidR="00174432">
        <w:rPr>
          <w:rFonts w:cs="Arial"/>
        </w:rPr>
        <w:t>Policy - General and Hazardous</w:t>
      </w:r>
      <w:bookmarkEnd w:id="0"/>
    </w:p>
    <w:p w14:paraId="43433FB9" w14:textId="77777777" w:rsidR="004A7263" w:rsidRDefault="005C209C" w:rsidP="00260F69">
      <w:pPr>
        <w:pStyle w:val="ListParagraph"/>
        <w:numPr>
          <w:ilvl w:val="0"/>
          <w:numId w:val="18"/>
        </w:numPr>
        <w:ind w:left="567"/>
        <w:rPr>
          <w:rFonts w:cs="Arial"/>
        </w:rPr>
      </w:pPr>
      <w:r w:rsidRPr="005C209C">
        <w:rPr>
          <w:rFonts w:cs="Arial"/>
        </w:rPr>
        <w:t>This policy covers general laboratory waste, hazardous (chemical) waste, sharps (including glass) and pipette tips that are not contaminated with biohazardous substances.</w:t>
      </w:r>
      <w:r>
        <w:rPr>
          <w:rFonts w:cs="Arial"/>
        </w:rPr>
        <w:t xml:space="preserve"> </w:t>
      </w:r>
    </w:p>
    <w:p w14:paraId="45F57025" w14:textId="2DFF4576" w:rsidR="005C209C" w:rsidRPr="005C209C" w:rsidRDefault="005C209C" w:rsidP="004A7263">
      <w:pPr>
        <w:pStyle w:val="ListParagraph"/>
        <w:numPr>
          <w:ilvl w:val="1"/>
          <w:numId w:val="18"/>
        </w:numPr>
        <w:ind w:left="1134" w:hanging="141"/>
        <w:rPr>
          <w:rFonts w:cs="Arial"/>
        </w:rPr>
      </w:pPr>
      <w:r w:rsidRPr="005C209C">
        <w:rPr>
          <w:rFonts w:cs="Arial"/>
        </w:rPr>
        <w:t xml:space="preserve">For biohazardous waste, refer to the </w:t>
      </w:r>
      <w:r w:rsidRPr="005C209C">
        <w:rPr>
          <w:rFonts w:cs="Arial"/>
          <w:u w:val="single"/>
        </w:rPr>
        <w:t xml:space="preserve">BI </w:t>
      </w:r>
      <w:r w:rsidR="006B3C96">
        <w:rPr>
          <w:rFonts w:cs="Arial"/>
          <w:u w:val="single"/>
        </w:rPr>
        <w:t>Laboratory</w:t>
      </w:r>
      <w:r w:rsidRPr="005C209C">
        <w:rPr>
          <w:rFonts w:cs="Arial"/>
          <w:u w:val="single"/>
        </w:rPr>
        <w:t xml:space="preserve"> Waste Policy</w:t>
      </w:r>
      <w:r w:rsidR="006B3C96">
        <w:rPr>
          <w:rFonts w:cs="Arial"/>
          <w:u w:val="single"/>
        </w:rPr>
        <w:t xml:space="preserve"> – Biohazardous</w:t>
      </w:r>
      <w:r w:rsidRPr="005C209C">
        <w:rPr>
          <w:rFonts w:cs="Arial"/>
        </w:rPr>
        <w:t>.</w:t>
      </w:r>
    </w:p>
    <w:p w14:paraId="0B250BE7" w14:textId="77777777" w:rsidR="004A7263" w:rsidRPr="00A004CC" w:rsidRDefault="004A7263" w:rsidP="00260F69">
      <w:pPr>
        <w:pStyle w:val="ListParagraph"/>
        <w:numPr>
          <w:ilvl w:val="0"/>
          <w:numId w:val="18"/>
        </w:numPr>
        <w:ind w:left="567"/>
        <w:rPr>
          <w:rFonts w:cs="Arial"/>
        </w:rPr>
      </w:pPr>
      <w:r>
        <w:rPr>
          <w:rFonts w:cs="Arial"/>
        </w:rPr>
        <w:t>Wear t</w:t>
      </w:r>
      <w:r w:rsidRPr="00A004CC">
        <w:rPr>
          <w:rFonts w:cs="Arial"/>
        </w:rPr>
        <w:t xml:space="preserve">he appropriate PPE </w:t>
      </w:r>
      <w:r>
        <w:rPr>
          <w:rFonts w:cs="Arial"/>
        </w:rPr>
        <w:t>when</w:t>
      </w:r>
      <w:r w:rsidRPr="00A004CC">
        <w:rPr>
          <w:rFonts w:cs="Arial"/>
        </w:rPr>
        <w:t xml:space="preserve"> handling laboratory waste.</w:t>
      </w:r>
      <w:r>
        <w:rPr>
          <w:rFonts w:cs="Arial"/>
        </w:rPr>
        <w:t xml:space="preserve"> Refer to applicable SDS/PSDS and </w:t>
      </w:r>
      <w:r w:rsidRPr="004777C4">
        <w:rPr>
          <w:rFonts w:cs="Arial"/>
        </w:rPr>
        <w:t xml:space="preserve">the </w:t>
      </w:r>
      <w:r w:rsidRPr="004777C4">
        <w:rPr>
          <w:rFonts w:cs="Arial"/>
          <w:u w:val="single"/>
        </w:rPr>
        <w:t>BI PPE Policy</w:t>
      </w:r>
      <w:r>
        <w:rPr>
          <w:rFonts w:cs="Arial"/>
          <w:szCs w:val="24"/>
        </w:rPr>
        <w:t>.</w:t>
      </w:r>
      <w:r w:rsidRPr="00810E05">
        <w:rPr>
          <w:rFonts w:cs="Arial"/>
          <w:szCs w:val="24"/>
        </w:rPr>
        <w:t xml:space="preserve"> </w:t>
      </w:r>
    </w:p>
    <w:p w14:paraId="150085D1" w14:textId="7BA8265B" w:rsidR="004A7263" w:rsidRPr="00C74A3A" w:rsidRDefault="004A7263" w:rsidP="00260F6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C74A3A">
        <w:rPr>
          <w:rFonts w:cs="Arial"/>
          <w:szCs w:val="24"/>
        </w:rPr>
        <w:t xml:space="preserve">If using a </w:t>
      </w:r>
      <w:r>
        <w:rPr>
          <w:rFonts w:cs="Arial"/>
          <w:szCs w:val="24"/>
        </w:rPr>
        <w:t>fume hood</w:t>
      </w:r>
      <w:r w:rsidRPr="00C74A3A">
        <w:rPr>
          <w:rFonts w:cs="Arial"/>
          <w:szCs w:val="24"/>
        </w:rPr>
        <w:t xml:space="preserve">, ensure </w:t>
      </w:r>
      <w:r>
        <w:rPr>
          <w:rFonts w:cs="Arial"/>
          <w:szCs w:val="24"/>
        </w:rPr>
        <w:t xml:space="preserve">required </w:t>
      </w:r>
      <w:r w:rsidRPr="00C74A3A">
        <w:rPr>
          <w:rFonts w:cs="Arial"/>
          <w:szCs w:val="24"/>
        </w:rPr>
        <w:t xml:space="preserve">waste containers are inside the </w:t>
      </w:r>
      <w:r>
        <w:rPr>
          <w:rFonts w:cs="Arial"/>
          <w:szCs w:val="24"/>
        </w:rPr>
        <w:t>fume hood</w:t>
      </w:r>
      <w:r w:rsidRPr="00C74A3A">
        <w:rPr>
          <w:rFonts w:cs="Arial"/>
          <w:szCs w:val="24"/>
        </w:rPr>
        <w:t xml:space="preserve"> prior to working. </w:t>
      </w:r>
    </w:p>
    <w:p w14:paraId="5A6BDC62" w14:textId="0C7FB3B3" w:rsidR="006B3C96" w:rsidRDefault="006B3C96" w:rsidP="00260F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BI users should consult BI staff for assistance with waste disposal</w:t>
      </w:r>
      <w:r w:rsidR="004A7263">
        <w:rPr>
          <w:rFonts w:cs="Arial"/>
          <w:szCs w:val="24"/>
        </w:rPr>
        <w:t>, as needed</w:t>
      </w:r>
      <w:r>
        <w:rPr>
          <w:rFonts w:cs="Arial"/>
          <w:szCs w:val="24"/>
        </w:rPr>
        <w:t xml:space="preserve">. </w:t>
      </w:r>
    </w:p>
    <w:p w14:paraId="4FBB3446" w14:textId="77777777" w:rsidR="00DA5BE6" w:rsidRDefault="00DA5BE6" w:rsidP="00DA5BE6">
      <w:pPr>
        <w:pStyle w:val="Heading2"/>
      </w:pPr>
      <w:r>
        <w:t>General Waste</w:t>
      </w:r>
    </w:p>
    <w:p w14:paraId="7A3119D4" w14:textId="2603BF98" w:rsidR="005331F3" w:rsidRDefault="005331F3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>
        <w:rPr>
          <w:rFonts w:cs="Arial"/>
        </w:rPr>
        <w:t>General waste includes items safe for land-fill disposal or recycling.</w:t>
      </w:r>
    </w:p>
    <w:p w14:paraId="5BD13460" w14:textId="64570A40" w:rsidR="00636822" w:rsidRDefault="00636822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>
        <w:rPr>
          <w:rFonts w:cs="Arial"/>
        </w:rPr>
        <w:t>General waste is maintained by McMaster Facility Services.</w:t>
      </w:r>
    </w:p>
    <w:p w14:paraId="48C69CBA" w14:textId="308F92F8" w:rsidR="00F9461F" w:rsidRDefault="00F9461F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>
        <w:rPr>
          <w:rFonts w:cs="Arial"/>
        </w:rPr>
        <w:t>Separate waste according to type (e.g. solid, liquid, recyclable).</w:t>
      </w:r>
    </w:p>
    <w:p w14:paraId="03D323A4" w14:textId="77777777" w:rsidR="00636822" w:rsidRDefault="00636822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 w:rsidRPr="00636822">
        <w:rPr>
          <w:rFonts w:cs="Arial"/>
        </w:rPr>
        <w:t>G</w:t>
      </w:r>
      <w:r w:rsidR="00E21F58" w:rsidRPr="00636822">
        <w:rPr>
          <w:rFonts w:cs="Arial"/>
        </w:rPr>
        <w:t>rey</w:t>
      </w:r>
      <w:r w:rsidR="00DA5BE6" w:rsidRPr="00636822">
        <w:rPr>
          <w:rFonts w:cs="Arial"/>
        </w:rPr>
        <w:t xml:space="preserve"> containers </w:t>
      </w:r>
      <w:r w:rsidRPr="00636822">
        <w:rPr>
          <w:rFonts w:cs="Arial"/>
        </w:rPr>
        <w:t>are for</w:t>
      </w:r>
      <w:r w:rsidR="00DA5BE6" w:rsidRPr="00636822">
        <w:rPr>
          <w:rFonts w:cs="Arial"/>
        </w:rPr>
        <w:t xml:space="preserve"> general waste disposal</w:t>
      </w:r>
      <w:r>
        <w:rPr>
          <w:rFonts w:cs="Arial"/>
        </w:rPr>
        <w:t>.</w:t>
      </w:r>
    </w:p>
    <w:p w14:paraId="560AF91C" w14:textId="77777777" w:rsidR="00636822" w:rsidRPr="00636822" w:rsidRDefault="00636822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 w:rsidRPr="00636822">
        <w:rPr>
          <w:rFonts w:cs="Arial"/>
        </w:rPr>
        <w:t>B</w:t>
      </w:r>
      <w:r w:rsidR="00DA5BE6" w:rsidRPr="00636822">
        <w:rPr>
          <w:rFonts w:cs="Arial"/>
        </w:rPr>
        <w:t xml:space="preserve">lue </w:t>
      </w:r>
      <w:r w:rsidRPr="00636822">
        <w:rPr>
          <w:rFonts w:cs="Arial"/>
        </w:rPr>
        <w:t>containers are for recyclable materials (e.g. card</w:t>
      </w:r>
      <w:r>
        <w:rPr>
          <w:rFonts w:cs="Arial"/>
        </w:rPr>
        <w:t>board)</w:t>
      </w:r>
      <w:r w:rsidR="00DA5BE6" w:rsidRPr="00636822">
        <w:rPr>
          <w:rFonts w:cs="Arial"/>
        </w:rPr>
        <w:t xml:space="preserve">. </w:t>
      </w:r>
    </w:p>
    <w:p w14:paraId="7E03794A" w14:textId="77777777" w:rsidR="00636822" w:rsidRDefault="00DA5BE6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 w:rsidRPr="00085FCB">
        <w:rPr>
          <w:rFonts w:cs="Arial"/>
        </w:rPr>
        <w:t xml:space="preserve">Cardboard boxes should be broken down prior to placement in </w:t>
      </w:r>
      <w:r w:rsidR="00636822">
        <w:rPr>
          <w:rFonts w:cs="Arial"/>
        </w:rPr>
        <w:t>recycling bin</w:t>
      </w:r>
      <w:r w:rsidRPr="00085FCB">
        <w:rPr>
          <w:rFonts w:cs="Arial"/>
        </w:rPr>
        <w:t>.</w:t>
      </w:r>
      <w:r>
        <w:rPr>
          <w:rFonts w:cs="Arial"/>
        </w:rPr>
        <w:t xml:space="preserve"> </w:t>
      </w:r>
    </w:p>
    <w:p w14:paraId="66510F15" w14:textId="77777777" w:rsidR="00DA5BE6" w:rsidRDefault="00DA5BE6" w:rsidP="00260F69">
      <w:pPr>
        <w:pStyle w:val="ListParagraph"/>
        <w:numPr>
          <w:ilvl w:val="0"/>
          <w:numId w:val="36"/>
        </w:numPr>
        <w:ind w:left="567"/>
        <w:rPr>
          <w:rFonts w:cs="Arial"/>
        </w:rPr>
      </w:pPr>
      <w:r w:rsidRPr="00085FCB">
        <w:rPr>
          <w:rFonts w:cs="Arial"/>
        </w:rPr>
        <w:t xml:space="preserve">Cardboard may also be placed in the </w:t>
      </w:r>
      <w:r w:rsidR="006B3C96">
        <w:rPr>
          <w:rFonts w:cs="Arial"/>
        </w:rPr>
        <w:t>north</w:t>
      </w:r>
      <w:r w:rsidRPr="00085FCB">
        <w:rPr>
          <w:rFonts w:cs="Arial"/>
        </w:rPr>
        <w:t xml:space="preserve"> 4</w:t>
      </w:r>
      <w:r w:rsidRPr="00085FCB">
        <w:rPr>
          <w:rFonts w:cs="Arial"/>
          <w:vertAlign w:val="superscript"/>
        </w:rPr>
        <w:t>th</w:t>
      </w:r>
      <w:r w:rsidRPr="00085FCB">
        <w:rPr>
          <w:rFonts w:cs="Arial"/>
        </w:rPr>
        <w:t xml:space="preserve"> floor hallway</w:t>
      </w:r>
      <w:r w:rsidR="006B3C96">
        <w:rPr>
          <w:rFonts w:cs="Arial"/>
        </w:rPr>
        <w:t>, near ETB 430</w:t>
      </w:r>
      <w:r w:rsidRPr="00085FCB">
        <w:rPr>
          <w:rFonts w:cs="Arial"/>
        </w:rPr>
        <w:t>.</w:t>
      </w:r>
    </w:p>
    <w:p w14:paraId="3271FFA6" w14:textId="77777777" w:rsidR="00F9461F" w:rsidRDefault="00F9461F" w:rsidP="00F9461F">
      <w:pPr>
        <w:pStyle w:val="Heading2"/>
      </w:pPr>
      <w:r>
        <w:t>Hazardous Waste</w:t>
      </w:r>
    </w:p>
    <w:p w14:paraId="5A694F0E" w14:textId="77777777" w:rsidR="00F9461F" w:rsidRDefault="00F9461F" w:rsidP="00260F69">
      <w:pPr>
        <w:pStyle w:val="ListParagraph"/>
        <w:numPr>
          <w:ilvl w:val="0"/>
          <w:numId w:val="40"/>
        </w:numPr>
        <w:ind w:left="567"/>
        <w:rPr>
          <w:rFonts w:cs="Arial"/>
          <w:szCs w:val="24"/>
        </w:rPr>
      </w:pPr>
      <w:r w:rsidRPr="00A004CC">
        <w:rPr>
          <w:rFonts w:cs="Arial"/>
          <w:szCs w:val="24"/>
        </w:rPr>
        <w:t>Hazardous waste includes</w:t>
      </w:r>
      <w:r>
        <w:rPr>
          <w:rFonts w:cs="Arial"/>
          <w:szCs w:val="24"/>
        </w:rPr>
        <w:t xml:space="preserve"> substances that are harmful to the environment</w:t>
      </w:r>
      <w:r w:rsidRPr="00A004C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as outlined in </w:t>
      </w:r>
      <w:r w:rsidRPr="009C50FA">
        <w:rPr>
          <w:rFonts w:cs="Arial"/>
          <w:szCs w:val="24"/>
          <w:u w:val="single"/>
        </w:rPr>
        <w:t>RMM #502: Hazardous Waste Management Program</w:t>
      </w:r>
      <w:r>
        <w:rPr>
          <w:rFonts w:cs="Arial"/>
          <w:szCs w:val="24"/>
        </w:rPr>
        <w:t>.</w:t>
      </w:r>
    </w:p>
    <w:p w14:paraId="150ABE6E" w14:textId="77777777" w:rsidR="00F9461F" w:rsidRDefault="00F9461F" w:rsidP="00260F6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Pr="00A26898">
        <w:rPr>
          <w:rFonts w:cs="Arial"/>
          <w:szCs w:val="24"/>
        </w:rPr>
        <w:t xml:space="preserve">azardous </w:t>
      </w:r>
      <w:r>
        <w:rPr>
          <w:rFonts w:cs="Arial"/>
          <w:szCs w:val="24"/>
        </w:rPr>
        <w:t>substances</w:t>
      </w:r>
      <w:r w:rsidRPr="00A26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 </w:t>
      </w:r>
      <w:r>
        <w:rPr>
          <w:rFonts w:cs="Arial"/>
          <w:b/>
          <w:szCs w:val="24"/>
        </w:rPr>
        <w:t>NOT</w:t>
      </w:r>
      <w:r w:rsidRPr="00A26898">
        <w:rPr>
          <w:rFonts w:cs="Arial"/>
          <w:szCs w:val="24"/>
        </w:rPr>
        <w:t xml:space="preserve"> go down the drain</w:t>
      </w:r>
      <w:r>
        <w:rPr>
          <w:rFonts w:cs="Arial"/>
          <w:szCs w:val="24"/>
        </w:rPr>
        <w:t xml:space="preserve"> or into general waste and must be disposed of as hazardous waste in appropriately labeled containers</w:t>
      </w:r>
      <w:r w:rsidRPr="00A26898">
        <w:rPr>
          <w:rFonts w:cs="Arial"/>
          <w:szCs w:val="24"/>
        </w:rPr>
        <w:t xml:space="preserve">. </w:t>
      </w:r>
    </w:p>
    <w:p w14:paraId="58383C7B" w14:textId="77777777" w:rsidR="00F9461F" w:rsidRDefault="00F9461F" w:rsidP="00260F6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Do not store hazardous waste in fume hoods.</w:t>
      </w:r>
    </w:p>
    <w:p w14:paraId="69A6D791" w14:textId="04F5159A" w:rsidR="00F9461F" w:rsidRDefault="00F9461F" w:rsidP="00260F69">
      <w:pPr>
        <w:pStyle w:val="ListParagraph"/>
        <w:numPr>
          <w:ilvl w:val="0"/>
          <w:numId w:val="40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Separate hazardous waste according to type (e.g. liquid, solid, glass, pipette tip) and compatibility. Review SDS to ensure proper disposal.</w:t>
      </w:r>
      <w:r w:rsidRPr="00F946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not mix acids with bases, and flammables with oxidizers.</w:t>
      </w:r>
      <w:r w:rsidRPr="00F946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Keep organic</w:t>
      </w:r>
      <w:r w:rsidRPr="00A26898">
        <w:rPr>
          <w:rFonts w:cs="Arial"/>
          <w:szCs w:val="24"/>
        </w:rPr>
        <w:t xml:space="preserve"> halogenated waste separate from </w:t>
      </w:r>
      <w:r>
        <w:rPr>
          <w:rFonts w:cs="Arial"/>
          <w:szCs w:val="24"/>
        </w:rPr>
        <w:t xml:space="preserve">organic </w:t>
      </w:r>
      <w:r w:rsidRPr="00A26898">
        <w:rPr>
          <w:rFonts w:cs="Arial"/>
          <w:szCs w:val="24"/>
        </w:rPr>
        <w:t>non-halogenated waste.</w:t>
      </w:r>
    </w:p>
    <w:p w14:paraId="4FC88A2B" w14:textId="77777777" w:rsidR="00680E6B" w:rsidRDefault="00680E6B" w:rsidP="00680E6B">
      <w:pPr>
        <w:pStyle w:val="Heading3"/>
      </w:pPr>
      <w:r>
        <w:t>Hazardous Waste</w:t>
      </w:r>
      <w:r w:rsidRPr="002B6DB0">
        <w:t xml:space="preserve"> </w:t>
      </w:r>
      <w:r>
        <w:t>Disposal –</w:t>
      </w:r>
      <w:r w:rsidRPr="004A7263">
        <w:t xml:space="preserve"> </w:t>
      </w:r>
      <w:r>
        <w:t>Liquid and Solid</w:t>
      </w:r>
    </w:p>
    <w:p w14:paraId="5B6984FC" w14:textId="1E672346" w:rsidR="00680E6B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Choose an appropriate waste container</w:t>
      </w:r>
      <w:r>
        <w:rPr>
          <w:rFonts w:cs="Arial"/>
          <w:szCs w:val="24"/>
        </w:rPr>
        <w:t xml:space="preserve"> for hazardous waste. </w:t>
      </w:r>
      <w:bookmarkStart w:id="1" w:name="_Hlk17203178"/>
      <w:r>
        <w:rPr>
          <w:rFonts w:cs="Arial"/>
          <w:szCs w:val="24"/>
        </w:rPr>
        <w:t>Ensure good</w:t>
      </w:r>
      <w:r w:rsidRPr="00A26898">
        <w:rPr>
          <w:rFonts w:cs="Arial"/>
          <w:szCs w:val="24"/>
        </w:rPr>
        <w:t xml:space="preserve"> chemical c</w:t>
      </w:r>
      <w:r>
        <w:rPr>
          <w:rFonts w:cs="Arial"/>
          <w:szCs w:val="24"/>
        </w:rPr>
        <w:t>om</w:t>
      </w:r>
      <w:r w:rsidRPr="00A26898">
        <w:rPr>
          <w:rFonts w:cs="Arial"/>
          <w:szCs w:val="24"/>
        </w:rPr>
        <w:t>pa</w:t>
      </w:r>
      <w:r>
        <w:rPr>
          <w:rFonts w:cs="Arial"/>
          <w:szCs w:val="24"/>
        </w:rPr>
        <w:t>ti</w:t>
      </w:r>
      <w:r w:rsidRPr="00A26898">
        <w:rPr>
          <w:rFonts w:cs="Arial"/>
          <w:szCs w:val="24"/>
        </w:rPr>
        <w:t xml:space="preserve">bility between the waste container and </w:t>
      </w:r>
      <w:r>
        <w:rPr>
          <w:rFonts w:cs="Arial"/>
          <w:szCs w:val="24"/>
        </w:rPr>
        <w:t>hazardous material</w:t>
      </w:r>
      <w:bookmarkEnd w:id="1"/>
      <w:r>
        <w:rPr>
          <w:rFonts w:cs="Arial"/>
          <w:szCs w:val="24"/>
        </w:rPr>
        <w:t>(s)</w:t>
      </w:r>
      <w:r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7A1FB0ED" w14:textId="77777777" w:rsidR="00680E6B" w:rsidRPr="00A26898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For hazardous waste ensure</w:t>
      </w:r>
      <w:r w:rsidRPr="00A26898">
        <w:rPr>
          <w:rFonts w:cs="Arial"/>
          <w:szCs w:val="24"/>
        </w:rPr>
        <w:t xml:space="preserve"> a tightly fitting lid. </w:t>
      </w:r>
    </w:p>
    <w:p w14:paraId="2CD37E31" w14:textId="77777777" w:rsidR="00680E6B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Label the waste container with a </w:t>
      </w:r>
      <w:bookmarkStart w:id="2" w:name="_Hlk17203147"/>
      <w:r>
        <w:rPr>
          <w:rFonts w:cs="Arial"/>
          <w:szCs w:val="24"/>
        </w:rPr>
        <w:t xml:space="preserve">McMaster Hazardous Waste label </w:t>
      </w:r>
      <w:bookmarkEnd w:id="2"/>
      <w:r>
        <w:rPr>
          <w:rFonts w:cs="Arial"/>
          <w:szCs w:val="24"/>
        </w:rPr>
        <w:t xml:space="preserve">(see below). </w:t>
      </w:r>
    </w:p>
    <w:p w14:paraId="489CEEA6" w14:textId="77777777" w:rsidR="00680E6B" w:rsidRPr="00A26898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Dispose of waste into the container as it is generated. </w:t>
      </w:r>
    </w:p>
    <w:p w14:paraId="477C2FC5" w14:textId="77777777" w:rsidR="00680E6B" w:rsidRPr="00A26898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Do not fill </w:t>
      </w:r>
      <w:r>
        <w:rPr>
          <w:rFonts w:cs="Arial"/>
          <w:szCs w:val="24"/>
        </w:rPr>
        <w:t>waste containers</w:t>
      </w:r>
      <w:r w:rsidRPr="00A26898">
        <w:rPr>
          <w:rFonts w:cs="Arial"/>
          <w:szCs w:val="24"/>
        </w:rPr>
        <w:t xml:space="preserve"> more than 80% full.</w:t>
      </w:r>
    </w:p>
    <w:p w14:paraId="0975A871" w14:textId="77777777" w:rsidR="00680E6B" w:rsidRPr="00E21F58" w:rsidRDefault="00680E6B" w:rsidP="00260F69">
      <w:pPr>
        <w:pStyle w:val="ListParagraph"/>
        <w:numPr>
          <w:ilvl w:val="0"/>
          <w:numId w:val="47"/>
        </w:numPr>
        <w:ind w:left="567"/>
        <w:rPr>
          <w:rFonts w:cs="Arial"/>
        </w:rPr>
      </w:pPr>
      <w:r>
        <w:rPr>
          <w:rFonts w:cs="Arial"/>
        </w:rPr>
        <w:t>F</w:t>
      </w:r>
      <w:r w:rsidRPr="00E21F58">
        <w:rPr>
          <w:rFonts w:cs="Arial"/>
        </w:rPr>
        <w:t>or disposal</w:t>
      </w:r>
      <w:r>
        <w:rPr>
          <w:rFonts w:cs="Arial"/>
        </w:rPr>
        <w:t xml:space="preserve"> assistance,</w:t>
      </w:r>
      <w:r w:rsidRPr="00E21F58">
        <w:rPr>
          <w:rFonts w:cs="Arial"/>
        </w:rPr>
        <w:t xml:space="preserve"> </w:t>
      </w:r>
      <w:r>
        <w:rPr>
          <w:rFonts w:cs="Arial"/>
        </w:rPr>
        <w:t>seek assistance from</w:t>
      </w:r>
      <w:r w:rsidRPr="00E21F58">
        <w:rPr>
          <w:rFonts w:cs="Arial"/>
        </w:rPr>
        <w:t xml:space="preserve"> BI staff. </w:t>
      </w:r>
      <w:r>
        <w:rPr>
          <w:rFonts w:cs="Arial"/>
        </w:rPr>
        <w:t>Disposal is via EOHSS Hazardous Waste Pickup (see below).</w:t>
      </w:r>
    </w:p>
    <w:p w14:paraId="5B25B3D9" w14:textId="4EC9BF72" w:rsidR="00680E6B" w:rsidRDefault="007B5285" w:rsidP="00680E6B">
      <w:pPr>
        <w:pStyle w:val="Heading3"/>
      </w:pPr>
      <w:r>
        <w:lastRenderedPageBreak/>
        <w:t xml:space="preserve">Empty </w:t>
      </w:r>
      <w:r w:rsidR="005E66A1">
        <w:t>Hazardous</w:t>
      </w:r>
      <w:r>
        <w:t xml:space="preserve"> Bottles</w:t>
      </w:r>
    </w:p>
    <w:p w14:paraId="3720E71B" w14:textId="17061AA5" w:rsidR="007B5285" w:rsidRDefault="007B5285" w:rsidP="007B5285">
      <w:pPr>
        <w:pStyle w:val="ListParagraph"/>
        <w:numPr>
          <w:ilvl w:val="0"/>
          <w:numId w:val="50"/>
        </w:numPr>
        <w:ind w:left="567"/>
      </w:pPr>
      <w:bookmarkStart w:id="3" w:name="_Hlk17205026"/>
      <w:r>
        <w:t>Remove the</w:t>
      </w:r>
      <w:r w:rsidR="005E66A1">
        <w:t xml:space="preserve"> container</w:t>
      </w:r>
      <w:r>
        <w:t xml:space="preserve"> lid.</w:t>
      </w:r>
    </w:p>
    <w:p w14:paraId="2C6A1CD8" w14:textId="62867526" w:rsidR="007B5285" w:rsidRDefault="005E66A1" w:rsidP="007B5285">
      <w:pPr>
        <w:pStyle w:val="ListParagraph"/>
        <w:numPr>
          <w:ilvl w:val="0"/>
          <w:numId w:val="50"/>
        </w:numPr>
        <w:ind w:left="567"/>
      </w:pPr>
      <w:r>
        <w:t xml:space="preserve">Ensure the hazardous material is removed. </w:t>
      </w:r>
      <w:r w:rsidR="007B5285">
        <w:t>For water-soluble and toxic materials, triple-rinse the container</w:t>
      </w:r>
      <w:r>
        <w:t xml:space="preserve"> and then allow it to dry in a fume hood; ensure the initial concentrated rinse is discarded as Hazardous Waste. </w:t>
      </w:r>
      <w:r w:rsidR="007B5285">
        <w:t>For solvent</w:t>
      </w:r>
      <w:r>
        <w:t>s</w:t>
      </w:r>
      <w:r w:rsidR="007B5285">
        <w:t>, allow the material to evaporate in a fume-hood.</w:t>
      </w:r>
    </w:p>
    <w:p w14:paraId="63588469" w14:textId="1941A503" w:rsidR="007B5285" w:rsidRDefault="007B5285" w:rsidP="007B5285">
      <w:pPr>
        <w:pStyle w:val="ListParagraph"/>
        <w:numPr>
          <w:ilvl w:val="0"/>
          <w:numId w:val="50"/>
        </w:numPr>
        <w:ind w:left="567"/>
      </w:pPr>
      <w:r>
        <w:t xml:space="preserve">Once the </w:t>
      </w:r>
      <w:r w:rsidR="005E66A1">
        <w:t>container</w:t>
      </w:r>
      <w:r>
        <w:t xml:space="preserve"> is dry, deface/remove the </w:t>
      </w:r>
      <w:r w:rsidR="005E66A1">
        <w:t>hazardous</w:t>
      </w:r>
      <w:r>
        <w:t xml:space="preserve"> label</w:t>
      </w:r>
      <w:r w:rsidR="005E66A1">
        <w:t xml:space="preserve"> and</w:t>
      </w:r>
      <w:r>
        <w:t xml:space="preserve"> place</w:t>
      </w:r>
      <w:r w:rsidR="005E66A1">
        <w:t xml:space="preserve"> a</w:t>
      </w:r>
      <w:r>
        <w:t xml:space="preserve"> green empty bottle ‘Notice’ label on container.</w:t>
      </w:r>
      <w:r w:rsidR="005E66A1">
        <w:t xml:space="preserve"> Labels are available from EOHSS.</w:t>
      </w:r>
    </w:p>
    <w:p w14:paraId="066414F2" w14:textId="2FC37577" w:rsidR="005E66A1" w:rsidRDefault="005E66A1" w:rsidP="007B5285">
      <w:pPr>
        <w:pStyle w:val="ListParagraph"/>
        <w:numPr>
          <w:ilvl w:val="0"/>
          <w:numId w:val="50"/>
        </w:numPr>
        <w:ind w:left="567"/>
      </w:pPr>
      <w:r>
        <w:t>Ensure the HECHMET barcode is delisted from your inventory.</w:t>
      </w:r>
    </w:p>
    <w:p w14:paraId="205F5383" w14:textId="1101AE36" w:rsidR="007B5285" w:rsidRPr="007B5285" w:rsidRDefault="005E66A1" w:rsidP="007B5285">
      <w:pPr>
        <w:pStyle w:val="ListParagraph"/>
        <w:numPr>
          <w:ilvl w:val="0"/>
          <w:numId w:val="50"/>
        </w:numPr>
        <w:ind w:left="567"/>
      </w:pPr>
      <w:r>
        <w:t xml:space="preserve">Place the container, without a lid, in the hallway for pickup by Facility Services. If there are any issues with the container, a red “label” will be </w:t>
      </w:r>
      <w:proofErr w:type="gramStart"/>
      <w:r>
        <w:t>attached</w:t>
      </w:r>
      <w:proofErr w:type="gramEnd"/>
      <w:r>
        <w:t xml:space="preserve"> and the container not removed. Contact EOHSS or BI staff for further assistance.</w:t>
      </w:r>
    </w:p>
    <w:bookmarkEnd w:id="3"/>
    <w:p w14:paraId="060484E1" w14:textId="217F9588" w:rsidR="00F9461F" w:rsidRDefault="00F9461F" w:rsidP="00F9461F">
      <w:pPr>
        <w:pStyle w:val="Heading2"/>
      </w:pPr>
      <w:r>
        <w:t>Glass Waste</w:t>
      </w:r>
    </w:p>
    <w:p w14:paraId="2FB85F12" w14:textId="77777777" w:rsidR="00F9461F" w:rsidRPr="004A7263" w:rsidRDefault="00F9461F" w:rsidP="00260F69">
      <w:pPr>
        <w:pStyle w:val="ListParagraph"/>
        <w:numPr>
          <w:ilvl w:val="0"/>
          <w:numId w:val="33"/>
        </w:numPr>
        <w:ind w:left="567"/>
        <w:rPr>
          <w:rFonts w:cs="Arial"/>
        </w:rPr>
      </w:pPr>
      <w:r w:rsidRPr="004A7263">
        <w:rPr>
          <w:rFonts w:cs="Arial"/>
          <w:szCs w:val="24"/>
        </w:rPr>
        <w:t>B</w:t>
      </w:r>
      <w:r>
        <w:t xml:space="preserve">roken glass is considered a sharp but may be disposed of as either clean (uncontaminated) glass waste, hazardous glass waste or biohazardous glass waste. The disposal route depends on associated hazards. </w:t>
      </w:r>
    </w:p>
    <w:p w14:paraId="4EBC7491" w14:textId="429321AC" w:rsidR="00940F89" w:rsidRDefault="00940F89" w:rsidP="00940F89">
      <w:pPr>
        <w:pStyle w:val="Heading3"/>
        <w:rPr>
          <w:rFonts w:cs="Arial"/>
        </w:rPr>
      </w:pPr>
      <w:r>
        <w:t>U</w:t>
      </w:r>
      <w:r w:rsidRPr="00A26898">
        <w:t>ncontaminated</w:t>
      </w:r>
      <w:r>
        <w:rPr>
          <w:rFonts w:cs="Arial"/>
        </w:rPr>
        <w:t xml:space="preserve"> Glass Waste</w:t>
      </w:r>
    </w:p>
    <w:p w14:paraId="2ED0B3A5" w14:textId="31C27879" w:rsidR="00325ACD" w:rsidRPr="004A7263" w:rsidRDefault="00F9461F" w:rsidP="00260F69">
      <w:pPr>
        <w:pStyle w:val="ListParagraph"/>
        <w:numPr>
          <w:ilvl w:val="0"/>
          <w:numId w:val="48"/>
        </w:numPr>
        <w:ind w:left="567"/>
        <w:rPr>
          <w:rFonts w:cs="Arial"/>
        </w:rPr>
      </w:pPr>
      <w:r>
        <w:rPr>
          <w:rFonts w:cs="Arial"/>
        </w:rPr>
        <w:t xml:space="preserve">Uncontaminated (clean) glass waste is disposed of into </w:t>
      </w:r>
      <w:r w:rsidRPr="004A7263">
        <w:rPr>
          <w:rFonts w:cs="Arial"/>
        </w:rPr>
        <w:t xml:space="preserve">cardboard boxes labeled as “Broken Glass Disposal” </w:t>
      </w:r>
      <w:r>
        <w:rPr>
          <w:rFonts w:cs="Arial"/>
        </w:rPr>
        <w:t>that are lined with a strong plastic bag.</w:t>
      </w:r>
      <w:r w:rsidR="007A48DF" w:rsidRPr="004A7263">
        <w:rPr>
          <w:rFonts w:cs="Arial"/>
        </w:rPr>
        <w:t xml:space="preserve"> </w:t>
      </w:r>
    </w:p>
    <w:p w14:paraId="1BA7AE6C" w14:textId="0C9499B8" w:rsidR="004A7263" w:rsidRDefault="007A48DF" w:rsidP="00260F69">
      <w:pPr>
        <w:pStyle w:val="ListParagraph"/>
        <w:numPr>
          <w:ilvl w:val="0"/>
          <w:numId w:val="48"/>
        </w:numPr>
        <w:ind w:left="567"/>
        <w:rPr>
          <w:rFonts w:cs="Arial"/>
        </w:rPr>
      </w:pPr>
      <w:r>
        <w:rPr>
          <w:rFonts w:cs="Arial"/>
        </w:rPr>
        <w:t xml:space="preserve">Fill uncontaminated (clean) </w:t>
      </w:r>
      <w:r w:rsidR="00940F89" w:rsidRPr="00E21F58">
        <w:rPr>
          <w:rFonts w:cs="Arial"/>
        </w:rPr>
        <w:t xml:space="preserve">glass waste </w:t>
      </w:r>
      <w:r w:rsidR="00E21F58">
        <w:rPr>
          <w:rFonts w:cs="Arial"/>
        </w:rPr>
        <w:t>container</w:t>
      </w:r>
      <w:r>
        <w:rPr>
          <w:rFonts w:cs="Arial"/>
        </w:rPr>
        <w:t>s no more than</w:t>
      </w:r>
      <w:r w:rsidR="00E21F58">
        <w:rPr>
          <w:rFonts w:cs="Arial"/>
        </w:rPr>
        <w:t xml:space="preserve"> </w:t>
      </w:r>
      <w:r w:rsidR="00AC4D9A">
        <w:rPr>
          <w:rFonts w:cs="Arial"/>
        </w:rPr>
        <w:t>8</w:t>
      </w:r>
      <w:r w:rsidR="00940F89" w:rsidRPr="00E21F58">
        <w:rPr>
          <w:rFonts w:cs="Arial"/>
        </w:rPr>
        <w:t>0</w:t>
      </w:r>
      <w:r w:rsidR="00E21F58" w:rsidRPr="00E21F58">
        <w:rPr>
          <w:rFonts w:cs="Arial"/>
        </w:rPr>
        <w:t>% full</w:t>
      </w:r>
      <w:r>
        <w:rPr>
          <w:rFonts w:cs="Arial"/>
        </w:rPr>
        <w:t xml:space="preserve">. </w:t>
      </w:r>
    </w:p>
    <w:p w14:paraId="17889A09" w14:textId="40249073" w:rsidR="007A48DF" w:rsidRDefault="004A7263" w:rsidP="00260F69">
      <w:pPr>
        <w:pStyle w:val="ListParagraph"/>
        <w:numPr>
          <w:ilvl w:val="0"/>
          <w:numId w:val="48"/>
        </w:numPr>
        <w:ind w:left="567"/>
        <w:rPr>
          <w:rFonts w:cs="Arial"/>
        </w:rPr>
      </w:pPr>
      <w:r>
        <w:rPr>
          <w:rFonts w:cs="Arial"/>
        </w:rPr>
        <w:t>When 80% full, inform BI staff. BI staff will tie the inner</w:t>
      </w:r>
      <w:r w:rsidR="007A48DF">
        <w:rPr>
          <w:rFonts w:cs="Arial"/>
        </w:rPr>
        <w:t xml:space="preserve"> bag</w:t>
      </w:r>
      <w:r>
        <w:rPr>
          <w:rFonts w:cs="Arial"/>
        </w:rPr>
        <w:t xml:space="preserve">, </w:t>
      </w:r>
      <w:r w:rsidR="007A48DF">
        <w:rPr>
          <w:rFonts w:cs="Arial"/>
        </w:rPr>
        <w:t>seal</w:t>
      </w:r>
      <w:r>
        <w:rPr>
          <w:rFonts w:cs="Arial"/>
        </w:rPr>
        <w:t xml:space="preserve"> the box and send the box for disposal</w:t>
      </w:r>
      <w:r w:rsidR="007A48DF">
        <w:rPr>
          <w:rFonts w:cs="Arial"/>
        </w:rPr>
        <w:t>.</w:t>
      </w:r>
    </w:p>
    <w:p w14:paraId="6E89FD9E" w14:textId="5CCB18E7" w:rsidR="00940F89" w:rsidRDefault="004A7263" w:rsidP="00260F69">
      <w:pPr>
        <w:pStyle w:val="ListParagraph"/>
        <w:numPr>
          <w:ilvl w:val="0"/>
          <w:numId w:val="48"/>
        </w:numPr>
        <w:ind w:left="567"/>
        <w:rPr>
          <w:rFonts w:cs="Arial"/>
        </w:rPr>
      </w:pPr>
      <w:r>
        <w:rPr>
          <w:rFonts w:cs="Arial"/>
        </w:rPr>
        <w:t xml:space="preserve">BI staff will replace uncontaminated (clean) </w:t>
      </w:r>
      <w:r w:rsidRPr="00E21F58">
        <w:rPr>
          <w:rFonts w:cs="Arial"/>
        </w:rPr>
        <w:t xml:space="preserve">glass waste </w:t>
      </w:r>
      <w:r>
        <w:rPr>
          <w:rFonts w:cs="Arial"/>
        </w:rPr>
        <w:t>containers as needed or requested.</w:t>
      </w:r>
    </w:p>
    <w:p w14:paraId="62A93D14" w14:textId="308CB1AE" w:rsidR="00F9461F" w:rsidRDefault="00F9461F" w:rsidP="00F9461F">
      <w:pPr>
        <w:pStyle w:val="Heading3"/>
      </w:pPr>
      <w:r>
        <w:t xml:space="preserve">Hazardous Glass – Disposable </w:t>
      </w:r>
    </w:p>
    <w:p w14:paraId="119914FD" w14:textId="2A703767" w:rsidR="00F9461F" w:rsidRPr="00E21F58" w:rsidRDefault="00F9461F" w:rsidP="00260F69">
      <w:pPr>
        <w:pStyle w:val="ListParagraph"/>
        <w:numPr>
          <w:ilvl w:val="0"/>
          <w:numId w:val="45"/>
        </w:numPr>
        <w:ind w:left="567"/>
      </w:pPr>
      <w:r>
        <w:t>Hazardous</w:t>
      </w:r>
      <w:r>
        <w:rPr>
          <w:rFonts w:cs="Arial"/>
        </w:rPr>
        <w:t xml:space="preserve"> disposable glass waste should be disposed of in a puncture proof container</w:t>
      </w:r>
      <w:r w:rsidRPr="00564AB3">
        <w:rPr>
          <w:rFonts w:cs="Arial"/>
        </w:rPr>
        <w:t xml:space="preserve"> </w:t>
      </w:r>
      <w:r w:rsidRPr="00E21F58">
        <w:rPr>
          <w:rFonts w:cs="Arial"/>
        </w:rPr>
        <w:t xml:space="preserve">or </w:t>
      </w:r>
      <w:r>
        <w:rPr>
          <w:rFonts w:cs="Arial"/>
        </w:rPr>
        <w:t xml:space="preserve">in </w:t>
      </w:r>
      <w:r w:rsidRPr="00E21F58">
        <w:rPr>
          <w:rFonts w:cs="Arial"/>
        </w:rPr>
        <w:t xml:space="preserve">a cardboard box lined with a strong plastic bag. </w:t>
      </w:r>
    </w:p>
    <w:p w14:paraId="38C6F6E4" w14:textId="7D6C0473" w:rsidR="00F9461F" w:rsidRPr="00E21F58" w:rsidRDefault="00F9461F" w:rsidP="00260F69">
      <w:pPr>
        <w:pStyle w:val="ListParagraph"/>
        <w:numPr>
          <w:ilvl w:val="0"/>
          <w:numId w:val="45"/>
        </w:numPr>
        <w:ind w:left="567"/>
      </w:pPr>
      <w:r>
        <w:rPr>
          <w:rFonts w:cs="Arial"/>
        </w:rPr>
        <w:t xml:space="preserve">Ensure the hazardous glass waste container is labeled as “Hazardous Glass Waste” and has a </w:t>
      </w:r>
      <w:r>
        <w:rPr>
          <w:rFonts w:cs="Arial"/>
          <w:szCs w:val="24"/>
        </w:rPr>
        <w:t xml:space="preserve">McMaster Hazardous Waste </w:t>
      </w:r>
      <w:r>
        <w:rPr>
          <w:rFonts w:cs="Arial"/>
        </w:rPr>
        <w:t>label.</w:t>
      </w:r>
    </w:p>
    <w:p w14:paraId="59DE9DCB" w14:textId="77777777" w:rsidR="00F9461F" w:rsidRDefault="00F9461F" w:rsidP="00260F69">
      <w:pPr>
        <w:pStyle w:val="ListParagraph"/>
        <w:numPr>
          <w:ilvl w:val="0"/>
          <w:numId w:val="45"/>
        </w:numPr>
        <w:ind w:left="567"/>
        <w:rPr>
          <w:rFonts w:cs="Arial"/>
        </w:rPr>
      </w:pPr>
      <w:r w:rsidRPr="00E21F58">
        <w:rPr>
          <w:rFonts w:cs="Arial"/>
        </w:rPr>
        <w:t xml:space="preserve">When </w:t>
      </w:r>
      <w:r>
        <w:rPr>
          <w:rFonts w:cs="Arial"/>
        </w:rPr>
        <w:t xml:space="preserve">the hazardous </w:t>
      </w:r>
      <w:r w:rsidRPr="00E21F58">
        <w:rPr>
          <w:rFonts w:cs="Arial"/>
        </w:rPr>
        <w:t xml:space="preserve">glass waste </w:t>
      </w:r>
      <w:r>
        <w:rPr>
          <w:rFonts w:cs="Arial"/>
        </w:rPr>
        <w:t xml:space="preserve">container </w:t>
      </w:r>
      <w:r w:rsidRPr="00E21F58">
        <w:rPr>
          <w:rFonts w:cs="Arial"/>
        </w:rPr>
        <w:t>is</w:t>
      </w:r>
      <w:r>
        <w:rPr>
          <w:rFonts w:cs="Arial"/>
        </w:rPr>
        <w:t xml:space="preserve"> 8</w:t>
      </w:r>
      <w:r w:rsidRPr="00E21F58">
        <w:rPr>
          <w:rFonts w:cs="Arial"/>
        </w:rPr>
        <w:t>0% full,</w:t>
      </w:r>
      <w:r>
        <w:rPr>
          <w:rFonts w:cs="Arial"/>
        </w:rPr>
        <w:t xml:space="preserve"> if applicable, carefully tie or tape inner bag, and seal the container. </w:t>
      </w:r>
    </w:p>
    <w:p w14:paraId="43FA5F85" w14:textId="59FE18CF" w:rsidR="00F9461F" w:rsidRPr="00E21F58" w:rsidRDefault="00F9461F" w:rsidP="00260F69">
      <w:pPr>
        <w:pStyle w:val="ListParagraph"/>
        <w:numPr>
          <w:ilvl w:val="0"/>
          <w:numId w:val="45"/>
        </w:numPr>
        <w:ind w:left="567"/>
        <w:rPr>
          <w:rFonts w:cs="Arial"/>
        </w:rPr>
      </w:pPr>
      <w:r>
        <w:rPr>
          <w:rFonts w:cs="Arial"/>
        </w:rPr>
        <w:t>F</w:t>
      </w:r>
      <w:r w:rsidRPr="00E21F58">
        <w:rPr>
          <w:rFonts w:cs="Arial"/>
        </w:rPr>
        <w:t>or disposal</w:t>
      </w:r>
      <w:r>
        <w:rPr>
          <w:rFonts w:cs="Arial"/>
        </w:rPr>
        <w:t xml:space="preserve"> assistance,</w:t>
      </w:r>
      <w:r w:rsidRPr="00E21F58">
        <w:rPr>
          <w:rFonts w:cs="Arial"/>
        </w:rPr>
        <w:t xml:space="preserve"> </w:t>
      </w:r>
      <w:r>
        <w:rPr>
          <w:rFonts w:cs="Arial"/>
        </w:rPr>
        <w:t>seek assistance from</w:t>
      </w:r>
      <w:r w:rsidRPr="00E21F58">
        <w:rPr>
          <w:rFonts w:cs="Arial"/>
        </w:rPr>
        <w:t xml:space="preserve"> BI staff. </w:t>
      </w:r>
      <w:r>
        <w:rPr>
          <w:rFonts w:cs="Arial"/>
        </w:rPr>
        <w:t>Disposal is via EOHSS Hazardous Waste Pickup.</w:t>
      </w:r>
    </w:p>
    <w:p w14:paraId="442DE4A4" w14:textId="545790C0" w:rsidR="00F9461F" w:rsidRDefault="00F9461F" w:rsidP="00F9461F">
      <w:pPr>
        <w:pStyle w:val="Heading3"/>
      </w:pPr>
      <w:r>
        <w:t xml:space="preserve">Hazardous Glass – Reusable </w:t>
      </w:r>
    </w:p>
    <w:p w14:paraId="772F5139" w14:textId="43E99588" w:rsidR="00F9461F" w:rsidRDefault="00F9461F" w:rsidP="00260F69">
      <w:pPr>
        <w:pStyle w:val="ListParagraph"/>
        <w:numPr>
          <w:ilvl w:val="0"/>
          <w:numId w:val="49"/>
        </w:numPr>
        <w:ind w:left="567"/>
      </w:pPr>
      <w:r>
        <w:t>Alternatively, unbroken hazardously contaminated glass may be washed and disposed as clean (uncontaminated) glass waste.</w:t>
      </w:r>
      <w:r w:rsidRPr="0061034F">
        <w:t xml:space="preserve"> </w:t>
      </w:r>
      <w:r>
        <w:t>Ensure hazardous solutions from cleaning do not go down the drain; dispose of as hazardous liquid waste.</w:t>
      </w:r>
    </w:p>
    <w:p w14:paraId="731A4D8E" w14:textId="4672CADD" w:rsidR="007404BD" w:rsidRDefault="007404BD" w:rsidP="007404BD"/>
    <w:p w14:paraId="3CDD5075" w14:textId="77777777" w:rsidR="007404BD" w:rsidRDefault="007404BD" w:rsidP="007404BD"/>
    <w:p w14:paraId="5EA4E96E" w14:textId="3EBBA6FE" w:rsidR="002B6DB0" w:rsidRPr="00A26898" w:rsidRDefault="004A7263" w:rsidP="002B6DB0">
      <w:pPr>
        <w:pStyle w:val="Heading2"/>
      </w:pPr>
      <w:bookmarkStart w:id="4" w:name="_Toc339871482"/>
      <w:bookmarkStart w:id="5" w:name="_Toc370997460"/>
      <w:r>
        <w:lastRenderedPageBreak/>
        <w:t xml:space="preserve">Sharps </w:t>
      </w:r>
    </w:p>
    <w:p w14:paraId="13B5CD8F" w14:textId="77777777" w:rsidR="00680E6B" w:rsidRDefault="00680E6B" w:rsidP="00260F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6" w:name="_Hlk17205340"/>
      <w:r w:rsidRPr="00E21F58">
        <w:rPr>
          <w:rFonts w:cs="Arial"/>
          <w:szCs w:val="24"/>
        </w:rPr>
        <w:t xml:space="preserve">Sharps </w:t>
      </w:r>
      <w:r>
        <w:rPr>
          <w:rFonts w:cs="Arial"/>
          <w:szCs w:val="24"/>
        </w:rPr>
        <w:t>including</w:t>
      </w:r>
      <w:r>
        <w:t xml:space="preserve"> needles, syringes with needles, razor blades and scalpels </w:t>
      </w:r>
      <w:r>
        <w:rPr>
          <w:rFonts w:cs="Arial"/>
          <w:szCs w:val="24"/>
        </w:rPr>
        <w:t xml:space="preserve">are disposed into designated biohazardous sharps containers, </w:t>
      </w:r>
      <w:r w:rsidRPr="00116F26">
        <w:rPr>
          <w:rFonts w:cs="Arial"/>
          <w:szCs w:val="24"/>
        </w:rPr>
        <w:t xml:space="preserve">which </w:t>
      </w:r>
      <w:r>
        <w:rPr>
          <w:rFonts w:cs="Arial"/>
          <w:szCs w:val="24"/>
        </w:rPr>
        <w:t>are</w:t>
      </w:r>
      <w:r w:rsidRPr="00116F26">
        <w:rPr>
          <w:rFonts w:cs="Arial"/>
          <w:szCs w:val="24"/>
        </w:rPr>
        <w:t xml:space="preserve"> puncture resistant, leak-proof and sealable.</w:t>
      </w:r>
    </w:p>
    <w:bookmarkEnd w:id="6"/>
    <w:p w14:paraId="409BA391" w14:textId="77777777" w:rsidR="00680E6B" w:rsidRPr="000D1372" w:rsidRDefault="00680E6B" w:rsidP="00260F6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D1372">
        <w:rPr>
          <w:rFonts w:cs="Arial"/>
          <w:szCs w:val="24"/>
        </w:rPr>
        <w:t>Each BI laboratory should have, at minimum, one designated sharps container. Consult BI staff for plastic sharps container locations as needed.</w:t>
      </w:r>
      <w:r>
        <w:rPr>
          <w:rFonts w:cs="Arial"/>
          <w:szCs w:val="24"/>
        </w:rPr>
        <w:t xml:space="preserve"> </w:t>
      </w:r>
      <w:r w:rsidRPr="000D1372">
        <w:rPr>
          <w:rFonts w:cs="Arial"/>
          <w:szCs w:val="24"/>
        </w:rPr>
        <w:t>BI staff will stock BI laboratories with sharps containers as needed or requested.</w:t>
      </w:r>
    </w:p>
    <w:p w14:paraId="2DDEC97E" w14:textId="16A3DA81" w:rsidR="00680E6B" w:rsidRPr="0021138C" w:rsidRDefault="00680E6B" w:rsidP="00260F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Dispose of sharps </w:t>
      </w:r>
      <w:r>
        <w:t>into a designated sharps</w:t>
      </w:r>
      <w:r w:rsidRPr="00A26898">
        <w:rPr>
          <w:rFonts w:cs="Arial"/>
          <w:szCs w:val="24"/>
        </w:rPr>
        <w:t xml:space="preserve"> container</w:t>
      </w:r>
      <w:r>
        <w:t xml:space="preserve">. </w:t>
      </w:r>
    </w:p>
    <w:p w14:paraId="56E4BC1E" w14:textId="77777777" w:rsidR="00680E6B" w:rsidRDefault="00680E6B" w:rsidP="00260F6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7" w:name="_Hlk17205361"/>
      <w:r w:rsidRPr="00A26898">
        <w:rPr>
          <w:rFonts w:cs="Arial"/>
          <w:szCs w:val="24"/>
        </w:rPr>
        <w:t xml:space="preserve">When the biohazard sharps container is ¾ full, </w:t>
      </w:r>
      <w:r>
        <w:rPr>
          <w:rFonts w:cs="Arial"/>
          <w:szCs w:val="24"/>
        </w:rPr>
        <w:t xml:space="preserve">close and/or </w:t>
      </w:r>
      <w:r w:rsidRPr="00A26898">
        <w:rPr>
          <w:rFonts w:cs="Arial"/>
          <w:szCs w:val="24"/>
        </w:rPr>
        <w:t xml:space="preserve">seal, and </w:t>
      </w:r>
      <w:r>
        <w:rPr>
          <w:rFonts w:cs="Arial"/>
          <w:szCs w:val="24"/>
        </w:rPr>
        <w:t xml:space="preserve">give to BI staff for disposal. </w:t>
      </w:r>
      <w:bookmarkEnd w:id="7"/>
      <w:r>
        <w:rPr>
          <w:rFonts w:cs="Arial"/>
          <w:szCs w:val="24"/>
        </w:rPr>
        <w:t xml:space="preserve">Sharps containers can be disposed of via EOHSS hazardous waste, or via </w:t>
      </w:r>
      <w:r w:rsidRPr="00372400">
        <w:rPr>
          <w:rFonts w:cs="Arial"/>
          <w:szCs w:val="24"/>
        </w:rPr>
        <w:t xml:space="preserve">double-lined </w:t>
      </w:r>
      <w:r>
        <w:rPr>
          <w:rFonts w:cs="Arial"/>
        </w:rPr>
        <w:t xml:space="preserve">designated </w:t>
      </w:r>
      <w:r w:rsidRPr="00A26898">
        <w:rPr>
          <w:rFonts w:cs="Arial"/>
          <w:szCs w:val="24"/>
        </w:rPr>
        <w:t xml:space="preserve">biohazard cardboard </w:t>
      </w:r>
      <w:r>
        <w:rPr>
          <w:rFonts w:cs="Arial"/>
          <w:szCs w:val="24"/>
        </w:rPr>
        <w:t xml:space="preserve">disposal </w:t>
      </w:r>
      <w:r w:rsidRPr="00A26898">
        <w:rPr>
          <w:rFonts w:cs="Arial"/>
          <w:szCs w:val="24"/>
        </w:rPr>
        <w:t>box</w:t>
      </w:r>
      <w:r>
        <w:rPr>
          <w:rFonts w:cs="Arial"/>
          <w:szCs w:val="24"/>
        </w:rPr>
        <w:t>es.</w:t>
      </w:r>
    </w:p>
    <w:p w14:paraId="2A8D92DE" w14:textId="595D5E4F" w:rsidR="00116F26" w:rsidRDefault="00940F89" w:rsidP="00AE187B">
      <w:pPr>
        <w:pStyle w:val="Heading2"/>
        <w:keepNext/>
        <w:spacing w:before="240"/>
        <w:rPr>
          <w:rFonts w:cs="Arial"/>
        </w:rPr>
      </w:pPr>
      <w:r>
        <w:rPr>
          <w:rFonts w:cs="Arial"/>
        </w:rPr>
        <w:t xml:space="preserve">Pipette Tips </w:t>
      </w:r>
    </w:p>
    <w:p w14:paraId="144826FE" w14:textId="4E6B3E2E" w:rsidR="00940F89" w:rsidRDefault="00940F89" w:rsidP="00260F69">
      <w:pPr>
        <w:pStyle w:val="ListParagraph"/>
        <w:numPr>
          <w:ilvl w:val="0"/>
          <w:numId w:val="41"/>
        </w:numPr>
        <w:ind w:left="567"/>
        <w:rPr>
          <w:rFonts w:cs="Arial"/>
          <w:szCs w:val="24"/>
        </w:rPr>
      </w:pPr>
      <w:bookmarkStart w:id="8" w:name="_Hlk17205400"/>
      <w:r>
        <w:t xml:space="preserve">Pipette tips should be placed </w:t>
      </w:r>
      <w:r>
        <w:rPr>
          <w:rFonts w:cs="Arial"/>
        </w:rPr>
        <w:t>in a puncture proof container</w:t>
      </w:r>
      <w:r w:rsidRPr="00564AB3">
        <w:rPr>
          <w:rFonts w:cs="Arial"/>
        </w:rPr>
        <w:t xml:space="preserve"> </w:t>
      </w:r>
      <w:r>
        <w:rPr>
          <w:rFonts w:cs="Arial"/>
        </w:rPr>
        <w:t>or</w:t>
      </w:r>
      <w:r w:rsidRPr="00564AB3">
        <w:rPr>
          <w:rFonts w:cs="Arial"/>
        </w:rPr>
        <w:t xml:space="preserve"> a cardboard box lined with a </w:t>
      </w:r>
      <w:r>
        <w:rPr>
          <w:rFonts w:cs="Arial"/>
        </w:rPr>
        <w:t xml:space="preserve">strong </w:t>
      </w:r>
      <w:r w:rsidRPr="00564AB3">
        <w:rPr>
          <w:rFonts w:cs="Arial"/>
        </w:rPr>
        <w:t>plastic bag</w:t>
      </w:r>
      <w:r>
        <w:rPr>
          <w:rFonts w:cs="Arial"/>
        </w:rPr>
        <w:t xml:space="preserve"> for disposal. Disposal procedures are dependent on </w:t>
      </w:r>
      <w:r w:rsidR="00371E64">
        <w:t>associated</w:t>
      </w:r>
      <w:r w:rsidR="00636822">
        <w:t xml:space="preserve"> hazards</w:t>
      </w:r>
      <w:r>
        <w:rPr>
          <w:rFonts w:cs="Arial"/>
        </w:rPr>
        <w:t xml:space="preserve">. </w:t>
      </w:r>
      <w:bookmarkEnd w:id="4"/>
      <w:bookmarkEnd w:id="5"/>
      <w:r w:rsidR="00680E6B">
        <w:rPr>
          <w:rFonts w:cs="Arial"/>
        </w:rPr>
        <w:t>Seek assistance from BI staff.</w:t>
      </w:r>
      <w:bookmarkEnd w:id="8"/>
    </w:p>
    <w:sectPr w:rsidR="00940F8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F921" w14:textId="77777777" w:rsidR="00415BC0" w:rsidRDefault="00415BC0" w:rsidP="00696DF8">
      <w:r>
        <w:separator/>
      </w:r>
    </w:p>
  </w:endnote>
  <w:endnote w:type="continuationSeparator" w:id="0">
    <w:p w14:paraId="264F0F8A" w14:textId="77777777" w:rsidR="00415BC0" w:rsidRDefault="00415BC0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0E2D1B" w14:textId="6D494901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1C715" wp14:editId="70CF4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5E161" id="Rectangle 5" o:spid="_x0000_s1026" style="position:absolute;margin-left:0;margin-top:-7.6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C11CED">
              <w:t>Policy</w:t>
            </w:r>
            <w:r w:rsidR="00514804">
              <w:t>ID</w:t>
            </w:r>
            <w:proofErr w:type="spellEnd"/>
            <w:r w:rsidR="007303C3">
              <w:t xml:space="preserve">: </w:t>
            </w:r>
            <w:proofErr w:type="spellStart"/>
            <w:r w:rsidR="00826F6D">
              <w:t>Waste</w:t>
            </w:r>
            <w:r w:rsidR="00514804">
              <w:t>Gen</w:t>
            </w:r>
            <w:r w:rsidR="00B853C5">
              <w:t>Haz</w:t>
            </w:r>
            <w:proofErr w:type="spellEnd"/>
            <w:r w:rsidR="00FA42DC">
              <w:tab/>
            </w:r>
            <w:r w:rsidR="00AC4D9A">
              <w:t>Jan</w:t>
            </w:r>
            <w:r w:rsidR="00305F75">
              <w:t>. 20</w:t>
            </w:r>
            <w:r w:rsidR="00E961D3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28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28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E556EC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2C73" w14:textId="77777777" w:rsidR="00415BC0" w:rsidRDefault="00415BC0" w:rsidP="00696DF8">
      <w:r>
        <w:separator/>
      </w:r>
    </w:p>
  </w:footnote>
  <w:footnote w:type="continuationSeparator" w:id="0">
    <w:p w14:paraId="4AAB1D03" w14:textId="77777777" w:rsidR="00415BC0" w:rsidRDefault="00415BC0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CA12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847106F" wp14:editId="794E21FA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457A6D3E" wp14:editId="04BDB7AC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0FC2A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3BF448" wp14:editId="00177435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07D9" id="Rectangle 1" o:spid="_x0000_s1026" style="position:absolute;margin-left:0;margin-top:12.5pt;width:467.4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F36D01E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5E2AAC"/>
    <w:multiLevelType w:val="hybridMultilevel"/>
    <w:tmpl w:val="96AA91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526C"/>
    <w:multiLevelType w:val="hybridMultilevel"/>
    <w:tmpl w:val="EFB69F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F70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349B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4277"/>
    <w:multiLevelType w:val="hybridMultilevel"/>
    <w:tmpl w:val="16B20F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3762CB"/>
    <w:multiLevelType w:val="hybridMultilevel"/>
    <w:tmpl w:val="AC1075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A71AC1"/>
    <w:multiLevelType w:val="hybridMultilevel"/>
    <w:tmpl w:val="1232502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63681"/>
    <w:multiLevelType w:val="hybridMultilevel"/>
    <w:tmpl w:val="3FDEA8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5631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85C16"/>
    <w:multiLevelType w:val="hybridMultilevel"/>
    <w:tmpl w:val="A266A336"/>
    <w:lvl w:ilvl="0" w:tplc="50B00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386"/>
    <w:multiLevelType w:val="hybridMultilevel"/>
    <w:tmpl w:val="EFECCFA0"/>
    <w:lvl w:ilvl="0" w:tplc="1009001B">
      <w:start w:val="1"/>
      <w:numFmt w:val="lowerRoman"/>
      <w:lvlText w:val="%1."/>
      <w:lvlJc w:val="right"/>
      <w:pPr>
        <w:ind w:left="-576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" w:hanging="360"/>
      </w:pPr>
    </w:lvl>
    <w:lvl w:ilvl="2" w:tplc="1009001B" w:tentative="1">
      <w:start w:val="1"/>
      <w:numFmt w:val="lowerRoman"/>
      <w:lvlText w:val="%3."/>
      <w:lvlJc w:val="right"/>
      <w:pPr>
        <w:ind w:left="864" w:hanging="180"/>
      </w:pPr>
    </w:lvl>
    <w:lvl w:ilvl="3" w:tplc="1009000F" w:tentative="1">
      <w:start w:val="1"/>
      <w:numFmt w:val="decimal"/>
      <w:lvlText w:val="%4."/>
      <w:lvlJc w:val="left"/>
      <w:pPr>
        <w:ind w:left="1584" w:hanging="360"/>
      </w:pPr>
    </w:lvl>
    <w:lvl w:ilvl="4" w:tplc="10090019" w:tentative="1">
      <w:start w:val="1"/>
      <w:numFmt w:val="lowerLetter"/>
      <w:lvlText w:val="%5."/>
      <w:lvlJc w:val="left"/>
      <w:pPr>
        <w:ind w:left="2304" w:hanging="360"/>
      </w:pPr>
    </w:lvl>
    <w:lvl w:ilvl="5" w:tplc="1009001B" w:tentative="1">
      <w:start w:val="1"/>
      <w:numFmt w:val="lowerRoman"/>
      <w:lvlText w:val="%6."/>
      <w:lvlJc w:val="right"/>
      <w:pPr>
        <w:ind w:left="3024" w:hanging="180"/>
      </w:pPr>
    </w:lvl>
    <w:lvl w:ilvl="6" w:tplc="1009000F" w:tentative="1">
      <w:start w:val="1"/>
      <w:numFmt w:val="decimal"/>
      <w:lvlText w:val="%7."/>
      <w:lvlJc w:val="left"/>
      <w:pPr>
        <w:ind w:left="3744" w:hanging="360"/>
      </w:pPr>
    </w:lvl>
    <w:lvl w:ilvl="7" w:tplc="10090019" w:tentative="1">
      <w:start w:val="1"/>
      <w:numFmt w:val="lowerLetter"/>
      <w:lvlText w:val="%8."/>
      <w:lvlJc w:val="left"/>
      <w:pPr>
        <w:ind w:left="4464" w:hanging="360"/>
      </w:pPr>
    </w:lvl>
    <w:lvl w:ilvl="8" w:tplc="10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12" w15:restartNumberingAfterBreak="0">
    <w:nsid w:val="1EEC70C3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43B05"/>
    <w:multiLevelType w:val="hybridMultilevel"/>
    <w:tmpl w:val="C98696A8"/>
    <w:lvl w:ilvl="0" w:tplc="50B00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257EF"/>
    <w:multiLevelType w:val="hybridMultilevel"/>
    <w:tmpl w:val="63D67B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1C52020"/>
    <w:multiLevelType w:val="hybridMultilevel"/>
    <w:tmpl w:val="37A8AE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4012"/>
    <w:multiLevelType w:val="hybridMultilevel"/>
    <w:tmpl w:val="8A08CC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7957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7D8B"/>
    <w:multiLevelType w:val="hybridMultilevel"/>
    <w:tmpl w:val="17B61E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449618A"/>
    <w:multiLevelType w:val="hybridMultilevel"/>
    <w:tmpl w:val="94723D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751E"/>
    <w:multiLevelType w:val="hybridMultilevel"/>
    <w:tmpl w:val="81889C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96C5A"/>
    <w:multiLevelType w:val="hybridMultilevel"/>
    <w:tmpl w:val="248C88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DC2290"/>
    <w:multiLevelType w:val="hybridMultilevel"/>
    <w:tmpl w:val="8A08CC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52D75"/>
    <w:multiLevelType w:val="hybridMultilevel"/>
    <w:tmpl w:val="939C2B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348E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73CA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4BEB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70FA7"/>
    <w:multiLevelType w:val="hybridMultilevel"/>
    <w:tmpl w:val="C2D4F4A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04889"/>
    <w:multiLevelType w:val="hybridMultilevel"/>
    <w:tmpl w:val="05FAB6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43172"/>
    <w:multiLevelType w:val="hybridMultilevel"/>
    <w:tmpl w:val="4D1216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74B4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825E7"/>
    <w:multiLevelType w:val="hybridMultilevel"/>
    <w:tmpl w:val="C2D4F4A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8188C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75033"/>
    <w:multiLevelType w:val="hybridMultilevel"/>
    <w:tmpl w:val="EFB69F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35" w15:restartNumberingAfterBreak="0">
    <w:nsid w:val="661F0EAD"/>
    <w:multiLevelType w:val="hybridMultilevel"/>
    <w:tmpl w:val="767CF1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70B55B0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5109C"/>
    <w:multiLevelType w:val="hybridMultilevel"/>
    <w:tmpl w:val="E2800D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61BD"/>
    <w:multiLevelType w:val="hybridMultilevel"/>
    <w:tmpl w:val="0D6077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3C85"/>
    <w:multiLevelType w:val="hybridMultilevel"/>
    <w:tmpl w:val="0D6077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779DB"/>
    <w:multiLevelType w:val="hybridMultilevel"/>
    <w:tmpl w:val="5DDE76AA"/>
    <w:lvl w:ilvl="0" w:tplc="DBB09BFC">
      <w:numFmt w:val="bullet"/>
      <w:pStyle w:val="Indent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A38CC"/>
    <w:multiLevelType w:val="hybridMultilevel"/>
    <w:tmpl w:val="44C242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E894D3D"/>
    <w:multiLevelType w:val="hybridMultilevel"/>
    <w:tmpl w:val="C08E84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FB241D0"/>
    <w:multiLevelType w:val="hybridMultilevel"/>
    <w:tmpl w:val="94723D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72F99"/>
    <w:multiLevelType w:val="hybridMultilevel"/>
    <w:tmpl w:val="767CF1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04D19A0"/>
    <w:multiLevelType w:val="hybridMultilevel"/>
    <w:tmpl w:val="81889C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31A3A"/>
    <w:multiLevelType w:val="hybridMultilevel"/>
    <w:tmpl w:val="C0AAE5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F5835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E41F5"/>
    <w:multiLevelType w:val="hybridMultilevel"/>
    <w:tmpl w:val="368054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B000577"/>
    <w:multiLevelType w:val="hybridMultilevel"/>
    <w:tmpl w:val="8A08CC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30"/>
  </w:num>
  <w:num w:numId="5">
    <w:abstractNumId w:val="37"/>
  </w:num>
  <w:num w:numId="6">
    <w:abstractNumId w:val="1"/>
  </w:num>
  <w:num w:numId="7">
    <w:abstractNumId w:val="32"/>
  </w:num>
  <w:num w:numId="8">
    <w:abstractNumId w:val="14"/>
  </w:num>
  <w:num w:numId="9">
    <w:abstractNumId w:val="42"/>
  </w:num>
  <w:num w:numId="10">
    <w:abstractNumId w:val="5"/>
  </w:num>
  <w:num w:numId="11">
    <w:abstractNumId w:val="48"/>
  </w:num>
  <w:num w:numId="12">
    <w:abstractNumId w:val="6"/>
  </w:num>
  <w:num w:numId="13">
    <w:abstractNumId w:val="21"/>
  </w:num>
  <w:num w:numId="14">
    <w:abstractNumId w:val="9"/>
  </w:num>
  <w:num w:numId="15">
    <w:abstractNumId w:val="41"/>
  </w:num>
  <w:num w:numId="16">
    <w:abstractNumId w:val="18"/>
  </w:num>
  <w:num w:numId="17">
    <w:abstractNumId w:val="44"/>
  </w:num>
  <w:num w:numId="18">
    <w:abstractNumId w:val="46"/>
  </w:num>
  <w:num w:numId="19">
    <w:abstractNumId w:val="7"/>
  </w:num>
  <w:num w:numId="20">
    <w:abstractNumId w:val="15"/>
  </w:num>
  <w:num w:numId="21">
    <w:abstractNumId w:val="33"/>
  </w:num>
  <w:num w:numId="22">
    <w:abstractNumId w:val="8"/>
  </w:num>
  <w:num w:numId="23">
    <w:abstractNumId w:val="26"/>
  </w:num>
  <w:num w:numId="24">
    <w:abstractNumId w:val="17"/>
  </w:num>
  <w:num w:numId="25">
    <w:abstractNumId w:val="36"/>
  </w:num>
  <w:num w:numId="26">
    <w:abstractNumId w:val="35"/>
  </w:num>
  <w:num w:numId="27">
    <w:abstractNumId w:val="29"/>
  </w:num>
  <w:num w:numId="28">
    <w:abstractNumId w:val="11"/>
  </w:num>
  <w:num w:numId="29">
    <w:abstractNumId w:val="2"/>
  </w:num>
  <w:num w:numId="30">
    <w:abstractNumId w:val="38"/>
  </w:num>
  <w:num w:numId="31">
    <w:abstractNumId w:val="3"/>
  </w:num>
  <w:num w:numId="32">
    <w:abstractNumId w:val="47"/>
  </w:num>
  <w:num w:numId="33">
    <w:abstractNumId w:val="25"/>
  </w:num>
  <w:num w:numId="34">
    <w:abstractNumId w:val="27"/>
  </w:num>
  <w:num w:numId="35">
    <w:abstractNumId w:val="4"/>
  </w:num>
  <w:num w:numId="36">
    <w:abstractNumId w:val="19"/>
  </w:num>
  <w:num w:numId="37">
    <w:abstractNumId w:val="43"/>
  </w:num>
  <w:num w:numId="38">
    <w:abstractNumId w:val="12"/>
  </w:num>
  <w:num w:numId="39">
    <w:abstractNumId w:val="49"/>
  </w:num>
  <w:num w:numId="40">
    <w:abstractNumId w:val="28"/>
  </w:num>
  <w:num w:numId="41">
    <w:abstractNumId w:val="39"/>
  </w:num>
  <w:num w:numId="42">
    <w:abstractNumId w:val="10"/>
  </w:num>
  <w:num w:numId="43">
    <w:abstractNumId w:val="13"/>
  </w:num>
  <w:num w:numId="44">
    <w:abstractNumId w:val="40"/>
  </w:num>
  <w:num w:numId="45">
    <w:abstractNumId w:val="20"/>
  </w:num>
  <w:num w:numId="46">
    <w:abstractNumId w:val="31"/>
  </w:num>
  <w:num w:numId="47">
    <w:abstractNumId w:val="16"/>
  </w:num>
  <w:num w:numId="48">
    <w:abstractNumId w:val="24"/>
  </w:num>
  <w:num w:numId="49">
    <w:abstractNumId w:val="45"/>
  </w:num>
  <w:num w:numId="5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0D3D"/>
    <w:rsid w:val="0002679A"/>
    <w:rsid w:val="00085FCB"/>
    <w:rsid w:val="00095E27"/>
    <w:rsid w:val="000B3B2D"/>
    <w:rsid w:val="000B66AA"/>
    <w:rsid w:val="000E6EAB"/>
    <w:rsid w:val="000F13E7"/>
    <w:rsid w:val="00106D4C"/>
    <w:rsid w:val="00116F26"/>
    <w:rsid w:val="00126071"/>
    <w:rsid w:val="0015717F"/>
    <w:rsid w:val="00166E7C"/>
    <w:rsid w:val="00174432"/>
    <w:rsid w:val="00180799"/>
    <w:rsid w:val="00193844"/>
    <w:rsid w:val="001969E7"/>
    <w:rsid w:val="001B4B1B"/>
    <w:rsid w:val="00243F45"/>
    <w:rsid w:val="00260F69"/>
    <w:rsid w:val="002B6DB0"/>
    <w:rsid w:val="002F1B7F"/>
    <w:rsid w:val="002F3368"/>
    <w:rsid w:val="00305F75"/>
    <w:rsid w:val="00325ACD"/>
    <w:rsid w:val="003376C6"/>
    <w:rsid w:val="00371E64"/>
    <w:rsid w:val="00382D5E"/>
    <w:rsid w:val="003C6A8F"/>
    <w:rsid w:val="003D77CB"/>
    <w:rsid w:val="003F7F31"/>
    <w:rsid w:val="00415BC0"/>
    <w:rsid w:val="00422F7F"/>
    <w:rsid w:val="00463E80"/>
    <w:rsid w:val="004A7263"/>
    <w:rsid w:val="00514804"/>
    <w:rsid w:val="005331F3"/>
    <w:rsid w:val="00540896"/>
    <w:rsid w:val="0056285F"/>
    <w:rsid w:val="00564AB3"/>
    <w:rsid w:val="0056533A"/>
    <w:rsid w:val="00574340"/>
    <w:rsid w:val="00584293"/>
    <w:rsid w:val="005A154A"/>
    <w:rsid w:val="005C209C"/>
    <w:rsid w:val="005E66A1"/>
    <w:rsid w:val="00602C26"/>
    <w:rsid w:val="0061034F"/>
    <w:rsid w:val="00617217"/>
    <w:rsid w:val="00622342"/>
    <w:rsid w:val="00632FC0"/>
    <w:rsid w:val="00636822"/>
    <w:rsid w:val="00680E6B"/>
    <w:rsid w:val="00696DF8"/>
    <w:rsid w:val="006B3C96"/>
    <w:rsid w:val="006D3719"/>
    <w:rsid w:val="006F00C2"/>
    <w:rsid w:val="007303C3"/>
    <w:rsid w:val="00733D0B"/>
    <w:rsid w:val="007404BD"/>
    <w:rsid w:val="00753574"/>
    <w:rsid w:val="007926FA"/>
    <w:rsid w:val="00796576"/>
    <w:rsid w:val="007A28D5"/>
    <w:rsid w:val="007A48DF"/>
    <w:rsid w:val="007B5285"/>
    <w:rsid w:val="007C3343"/>
    <w:rsid w:val="007E1173"/>
    <w:rsid w:val="007F5E0A"/>
    <w:rsid w:val="007F7342"/>
    <w:rsid w:val="008110CD"/>
    <w:rsid w:val="00826F6D"/>
    <w:rsid w:val="00854203"/>
    <w:rsid w:val="008A24C5"/>
    <w:rsid w:val="008D2616"/>
    <w:rsid w:val="008F4B87"/>
    <w:rsid w:val="00902792"/>
    <w:rsid w:val="009235DE"/>
    <w:rsid w:val="00934FD4"/>
    <w:rsid w:val="00940F89"/>
    <w:rsid w:val="00951B36"/>
    <w:rsid w:val="00951C8E"/>
    <w:rsid w:val="009A2B59"/>
    <w:rsid w:val="009C50FA"/>
    <w:rsid w:val="009C615C"/>
    <w:rsid w:val="009E0AF5"/>
    <w:rsid w:val="00A004CC"/>
    <w:rsid w:val="00A025E9"/>
    <w:rsid w:val="00A22F72"/>
    <w:rsid w:val="00A4461B"/>
    <w:rsid w:val="00A67168"/>
    <w:rsid w:val="00AB4213"/>
    <w:rsid w:val="00AC4D9A"/>
    <w:rsid w:val="00AE187B"/>
    <w:rsid w:val="00AF0E3F"/>
    <w:rsid w:val="00AF1544"/>
    <w:rsid w:val="00B02E5D"/>
    <w:rsid w:val="00B81099"/>
    <w:rsid w:val="00B853C5"/>
    <w:rsid w:val="00BA71A7"/>
    <w:rsid w:val="00BD4300"/>
    <w:rsid w:val="00BE1589"/>
    <w:rsid w:val="00BE1CBC"/>
    <w:rsid w:val="00C11CED"/>
    <w:rsid w:val="00C2344B"/>
    <w:rsid w:val="00C3582E"/>
    <w:rsid w:val="00C36EE5"/>
    <w:rsid w:val="00C86DE4"/>
    <w:rsid w:val="00DA06B3"/>
    <w:rsid w:val="00DA5BE6"/>
    <w:rsid w:val="00DC6F1E"/>
    <w:rsid w:val="00E21F58"/>
    <w:rsid w:val="00E571BF"/>
    <w:rsid w:val="00E947C7"/>
    <w:rsid w:val="00E961D3"/>
    <w:rsid w:val="00F468EB"/>
    <w:rsid w:val="00F66081"/>
    <w:rsid w:val="00F82A7F"/>
    <w:rsid w:val="00F85F31"/>
    <w:rsid w:val="00F9461F"/>
    <w:rsid w:val="00FA42DC"/>
    <w:rsid w:val="00FB4CB6"/>
    <w:rsid w:val="00FD25D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58354"/>
  <w15:docId w15:val="{903814BE-0D8A-47E7-81D0-2487150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376C6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A5BE6"/>
    <w:rPr>
      <w:color w:val="0000FF" w:themeColor="hyperlink"/>
      <w:u w:val="single"/>
    </w:rPr>
  </w:style>
  <w:style w:type="paragraph" w:customStyle="1" w:styleId="Indentlist">
    <w:name w:val="Indent list"/>
    <w:basedOn w:val="ListParagraph"/>
    <w:link w:val="IndentlistChar"/>
    <w:qFormat/>
    <w:rsid w:val="00BE1CBC"/>
    <w:pPr>
      <w:numPr>
        <w:numId w:val="44"/>
      </w:numPr>
      <w:ind w:left="124" w:hanging="142"/>
    </w:pPr>
    <w:rPr>
      <w:rFonts w:eastAsia="Times New Roman" w:cstheme="minorHAnsi"/>
      <w:sz w:val="18"/>
      <w:szCs w:val="18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1CBC"/>
    <w:rPr>
      <w:rFonts w:ascii="Arial" w:hAnsi="Arial"/>
      <w:sz w:val="24"/>
    </w:rPr>
  </w:style>
  <w:style w:type="character" w:customStyle="1" w:styleId="IndentlistChar">
    <w:name w:val="Indent list Char"/>
    <w:basedOn w:val="ListParagraphChar"/>
    <w:link w:val="Indentlist"/>
    <w:rsid w:val="00BE1CBC"/>
    <w:rPr>
      <w:rFonts w:ascii="Arial" w:eastAsia="Times New Roman" w:hAnsi="Arial" w:cstheme="minorHAns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1BF5A-12BF-43A5-A546-D6913DFF51CA}"/>
</file>

<file path=customXml/itemProps2.xml><?xml version="1.0" encoding="utf-8"?>
<ds:datastoreItem xmlns:ds="http://schemas.openxmlformats.org/officeDocument/2006/customXml" ds:itemID="{6FB72E96-75DC-47A9-9D7A-E33239427176}"/>
</file>

<file path=customXml/itemProps3.xml><?xml version="1.0" encoding="utf-8"?>
<ds:datastoreItem xmlns:ds="http://schemas.openxmlformats.org/officeDocument/2006/customXml" ds:itemID="{459D814C-476C-486B-A060-3FB0C326A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44</cp:revision>
  <cp:lastPrinted>2017-02-14T16:52:00Z</cp:lastPrinted>
  <dcterms:created xsi:type="dcterms:W3CDTF">2013-12-12T16:28:00Z</dcterms:created>
  <dcterms:modified xsi:type="dcterms:W3CDTF">2021-03-14T17:59:00Z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